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黑体" w:eastAsia="黑体" w:cs="Times New Roman"/>
          <w:sz w:val="36"/>
          <w:szCs w:val="36"/>
        </w:rPr>
      </w:pPr>
      <w:r>
        <w:rPr>
          <w:rFonts w:ascii="Times New Roman" w:hAnsi="黑体" w:eastAsia="黑体" w:cs="Times New Roman"/>
          <w:sz w:val="36"/>
          <w:szCs w:val="36"/>
        </w:rPr>
        <w:t>厦门大学</w:t>
      </w:r>
      <w:r>
        <w:rPr>
          <w:rFonts w:hint="eastAsia" w:ascii="Times New Roman" w:hAnsi="黑体" w:eastAsia="黑体" w:cs="Times New Roman"/>
          <w:sz w:val="36"/>
          <w:szCs w:val="36"/>
        </w:rPr>
        <w:t>“</w:t>
      </w:r>
      <w:r>
        <w:rPr>
          <w:rFonts w:ascii="Times New Roman" w:hAnsi="黑体" w:eastAsia="黑体" w:cs="Times New Roman"/>
          <w:sz w:val="36"/>
          <w:szCs w:val="36"/>
        </w:rPr>
        <w:t>广生堂德优才俊奖学金</w:t>
      </w:r>
      <w:r>
        <w:rPr>
          <w:rFonts w:hint="eastAsia" w:ascii="Times New Roman" w:hAnsi="黑体" w:eastAsia="黑体" w:cs="Times New Roman"/>
          <w:sz w:val="36"/>
          <w:szCs w:val="36"/>
        </w:rPr>
        <w:t>”评审办法</w:t>
      </w:r>
    </w:p>
    <w:p>
      <w:pPr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（2018年3月制订）</w:t>
      </w:r>
    </w:p>
    <w:p>
      <w:pPr>
        <w:spacing w:line="52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根据厦门大学与福建广生堂药业股份有限公司合作协议，自2019年起，福建广生堂药业股份有限公司每年出资50万元，在厦门大学设立</w:t>
      </w:r>
      <w:r>
        <w:rPr>
          <w:rFonts w:ascii="仿宋_GB2312" w:hAnsi="Times New Roman" w:eastAsia="仿宋_GB2312" w:cs="Times New Roman"/>
          <w:sz w:val="30"/>
          <w:szCs w:val="30"/>
        </w:rPr>
        <w:t>广生堂德优才俊奖学金</w:t>
      </w:r>
      <w:r>
        <w:rPr>
          <w:rFonts w:hint="eastAsia" w:ascii="仿宋_GB2312" w:hAnsi="Times New Roman" w:eastAsia="仿宋_GB2312" w:cs="Times New Roman"/>
          <w:sz w:val="30"/>
          <w:szCs w:val="30"/>
        </w:rPr>
        <w:t>。</w:t>
      </w:r>
    </w:p>
    <w:p>
      <w:pPr>
        <w:ind w:firstLine="600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一、评选对象和评奖名额</w:t>
      </w:r>
    </w:p>
    <w:p>
      <w:pPr>
        <w:spacing w:line="520" w:lineRule="exact"/>
        <w:ind w:firstLine="6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每年奖励100名学生，每名奖励人民币5000元。其中面向全校评选55人（本科生30名、研究生25名），定向生命科学学院、药学院、医学院评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0"/>
          <w:szCs w:val="30"/>
        </w:rPr>
        <w:t>选45名。参评本科生需为二、三年级学生，研究生需为一、二年级学生。</w:t>
      </w:r>
    </w:p>
    <w:p>
      <w:pPr>
        <w:spacing w:line="520" w:lineRule="exact"/>
        <w:ind w:firstLine="600"/>
        <w:rPr>
          <w:rFonts w:hint="eastAsia"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定向评选方案：生命科学院遗传学专业硕士5名；药学院药学专业本科生15名；药学院药理学、药剂学、药物分析学、药物化学专业硕士各5名；医学院生理学、生殖生理专业硕士合计5名。</w:t>
      </w:r>
    </w:p>
    <w:p>
      <w:pPr>
        <w:spacing w:line="540" w:lineRule="exact"/>
        <w:ind w:firstLine="57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二、评选条件：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1.</w:t>
      </w:r>
      <w:r>
        <w:rPr>
          <w:rFonts w:ascii="仿宋_GB2312" w:hAnsi="Times New Roman" w:eastAsia="仿宋_GB2312" w:cs="Times New Roman"/>
          <w:sz w:val="30"/>
          <w:szCs w:val="30"/>
        </w:rPr>
        <w:t>热爱祖国，遵纪守法，具有良好的思想修养</w:t>
      </w:r>
      <w:r>
        <w:rPr>
          <w:rFonts w:hint="eastAsia" w:ascii="仿宋_GB2312" w:hAnsi="Times New Roman" w:eastAsia="仿宋_GB2312" w:cs="Times New Roman"/>
          <w:sz w:val="30"/>
          <w:szCs w:val="30"/>
        </w:rPr>
        <w:t>和</w:t>
      </w:r>
      <w:r>
        <w:rPr>
          <w:rFonts w:ascii="仿宋_GB2312" w:hAnsi="Times New Roman" w:eastAsia="仿宋_GB2312" w:cs="Times New Roman"/>
          <w:sz w:val="30"/>
          <w:szCs w:val="30"/>
        </w:rPr>
        <w:t>道德情操；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2.品学兼优、刻苦学习，成绩优良;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3.积极参加社会实践和志愿服务活动，热心环保公益活动；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4.学术思想活跃，有较强的创新能力，在学科竞赛、科技竞赛、科研创新等方面表现突出；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5.同等条件下，家庭经济困难（经确认为贫困生者）的学生优先考虑。</w:t>
      </w:r>
    </w:p>
    <w:p>
      <w:pPr>
        <w:spacing w:line="54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    三、奖励办法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学校在校庆期间为获奖学生颁发荣誉证书和奖学金。</w:t>
      </w:r>
    </w:p>
    <w:p>
      <w:pPr>
        <w:spacing w:line="540" w:lineRule="exact"/>
        <w:ind w:firstLine="585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四、评选程序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1.申报者如实填写有关表格，送交所在单位审核；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2.申报者所在单位将申报表及评奖材料送交教务处和研究生院审核；</w:t>
      </w:r>
    </w:p>
    <w:p>
      <w:pPr>
        <w:spacing w:line="540" w:lineRule="exact"/>
        <w:ind w:firstLine="645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3.教务处和研究生院审核通过后送交校奖学金评奖委员会秘书组，由秘书组提交校奖学金评奖委员会评选；</w:t>
      </w:r>
    </w:p>
    <w:p>
      <w:pPr>
        <w:spacing w:line="540" w:lineRule="exact"/>
        <w:ind w:firstLine="600" w:firstLineChars="200"/>
        <w:rPr>
          <w:rFonts w:ascii="仿宋_GB2312" w:hAnsi="Times New Roman" w:eastAsia="仿宋_GB2312" w:cs="Times New Roman"/>
          <w:sz w:val="30"/>
          <w:szCs w:val="30"/>
        </w:rPr>
      </w:pPr>
      <w:r>
        <w:rPr>
          <w:rFonts w:hint="eastAsia" w:ascii="仿宋_GB2312" w:hAnsi="Times New Roman" w:eastAsia="仿宋_GB2312" w:cs="Times New Roman"/>
          <w:sz w:val="30"/>
          <w:szCs w:val="30"/>
        </w:rPr>
        <w:t>4.学校将评定的名单通报福建广生堂药业股份有限公司。</w:t>
      </w:r>
    </w:p>
    <w:p>
      <w:pPr>
        <w:spacing w:line="540" w:lineRule="exact"/>
        <w:ind w:firstLine="6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五、本评选办法由校奖学金评奖委员会秘书组负责解释。</w:t>
      </w:r>
    </w:p>
    <w:p>
      <w:pPr>
        <w:spacing w:line="540" w:lineRule="exact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    六、本评选办法自公布之日起施行。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78"/>
    <w:rsid w:val="00030CA9"/>
    <w:rsid w:val="000805CA"/>
    <w:rsid w:val="002B527E"/>
    <w:rsid w:val="00347878"/>
    <w:rsid w:val="003E4D05"/>
    <w:rsid w:val="005223BF"/>
    <w:rsid w:val="006612CE"/>
    <w:rsid w:val="00825A5C"/>
    <w:rsid w:val="00AA10DB"/>
    <w:rsid w:val="00E05927"/>
    <w:rsid w:val="00F02444"/>
    <w:rsid w:val="63F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6C6C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102</Words>
  <Characters>583</Characters>
  <Lines>4</Lines>
  <Paragraphs>1</Paragraphs>
  <TotalTime>0</TotalTime>
  <ScaleCrop>false</ScaleCrop>
  <LinksUpToDate>false</LinksUpToDate>
  <CharactersWithSpaces>684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2018-03-23T02:09:00Z</dcterms:created>
  <dc:creator>刘俊英(8025)</dc:creator>
  <cp:lastModifiedBy>Administrator</cp:lastModifiedBy>
  <cp:lastPrinted>2018-03-23T03:31:09Z</cp:lastPrinted>
  <dcterms:modified xsi:type="dcterms:W3CDTF">2018-03-23T07:55:21Z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