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D78" w:rsidRDefault="00F71D78" w:rsidP="00F71D78">
      <w:pPr>
        <w:spacing w:line="360" w:lineRule="auto"/>
        <w:ind w:firstLineChars="196" w:firstLine="590"/>
        <w:jc w:val="center"/>
        <w:rPr>
          <w:rFonts w:ascii="黑体" w:eastAsia="黑体" w:hAnsi="黑体" w:hint="eastAsia"/>
          <w:b/>
          <w:sz w:val="30"/>
          <w:szCs w:val="30"/>
        </w:rPr>
      </w:pPr>
      <w:r>
        <w:rPr>
          <w:rFonts w:ascii="黑体" w:eastAsia="黑体" w:hAnsi="黑体" w:hint="eastAsia"/>
          <w:b/>
          <w:sz w:val="30"/>
          <w:szCs w:val="30"/>
        </w:rPr>
        <w:t>厦门大学医学院关于加强研究生毕业论文</w:t>
      </w:r>
    </w:p>
    <w:p w:rsidR="00F71D78" w:rsidRDefault="00F71D78" w:rsidP="00F71D78">
      <w:pPr>
        <w:spacing w:line="360" w:lineRule="auto"/>
        <w:ind w:firstLineChars="196" w:firstLine="590"/>
        <w:jc w:val="center"/>
        <w:rPr>
          <w:rFonts w:ascii="黑体" w:eastAsia="黑体" w:hAnsi="黑体" w:hint="eastAsia"/>
          <w:b/>
          <w:sz w:val="30"/>
          <w:szCs w:val="30"/>
        </w:rPr>
      </w:pPr>
      <w:r>
        <w:rPr>
          <w:rFonts w:ascii="黑体" w:eastAsia="黑体" w:hAnsi="黑体" w:hint="eastAsia"/>
          <w:b/>
          <w:sz w:val="30"/>
          <w:szCs w:val="30"/>
        </w:rPr>
        <w:t>答辩管理规范的相关规定</w:t>
      </w:r>
    </w:p>
    <w:p w:rsidR="00F71D78" w:rsidRDefault="00F71D78" w:rsidP="00F71D78">
      <w:pPr>
        <w:jc w:val="center"/>
        <w:rPr>
          <w:rFonts w:ascii="宋体" w:hAnsi="宋体" w:cs="宋体" w:hint="eastAsia"/>
          <w:b/>
          <w:bCs/>
          <w:color w:val="000000"/>
          <w:kern w:val="56"/>
          <w:sz w:val="24"/>
          <w:szCs w:val="24"/>
        </w:rPr>
      </w:pPr>
      <w:r>
        <w:rPr>
          <w:rFonts w:ascii="宋体" w:hAnsi="宋体" w:cs="宋体" w:hint="eastAsia"/>
          <w:b/>
          <w:bCs/>
          <w:color w:val="000000"/>
          <w:kern w:val="56"/>
          <w:sz w:val="24"/>
          <w:szCs w:val="24"/>
        </w:rPr>
        <w:t xml:space="preserve">厦大医研 </w:t>
      </w:r>
      <w:r>
        <w:rPr>
          <w:rFonts w:ascii="宋体" w:hAnsi="宋体" w:hint="eastAsia"/>
          <w:sz w:val="24"/>
          <w:szCs w:val="24"/>
        </w:rPr>
        <w:t>[2013]</w:t>
      </w:r>
      <w:r>
        <w:rPr>
          <w:rFonts w:ascii="宋体" w:hAnsi="宋体" w:cs="宋体" w:hint="eastAsia"/>
          <w:b/>
          <w:bCs/>
          <w:color w:val="000000"/>
          <w:kern w:val="56"/>
          <w:sz w:val="24"/>
          <w:szCs w:val="24"/>
        </w:rPr>
        <w:t xml:space="preserve"> 01号</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根据《厦门大学硕士学位和博士学位授予工作细则》（厦大研[2009]22号），</w:t>
      </w:r>
      <w:r>
        <w:rPr>
          <w:rFonts w:ascii="宋体" w:hAnsi="宋体"/>
          <w:sz w:val="24"/>
          <w:szCs w:val="24"/>
        </w:rPr>
        <w:t>为保证研究生学位论文答辩工作的顺利进行</w:t>
      </w:r>
      <w:r>
        <w:rPr>
          <w:rFonts w:ascii="宋体" w:hAnsi="宋体" w:hint="eastAsia"/>
          <w:sz w:val="24"/>
          <w:szCs w:val="24"/>
        </w:rPr>
        <w:t>,结合医学院的实际情况，特制定本规定。</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一、关于答辩成绩的评定</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论文答辩需符合以下六点要求方可评定为“优秀”，其他由答辩委员会委员视具体情况评定成绩。答辩主席负责监督和管理，务必保证答辩成绩评定的客观准确性。基本要求：</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（1）论文选题创新性强，具有较高的理论意义或应用价值；</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 xml:space="preserve">（2）学术研究充分、文献资料详实、研究方法合理、综合分析正确； </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 xml:space="preserve">（3）论文层次清晰，逻辑性强、文字精炼准确，语言流畅； </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（4）在规定的时间内清楚地阐述论文的主要内容，能简要准确地回答问题，表达能力强；</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（5）牢固地掌握专业的基本理论和专门知识，无抄袭他人文章或剽窃他人成果的内容；</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 xml:space="preserve">（6）论文答辩人在论文答辩之前需以第一完成人在SCI（博士需发表在JCR刊物二区以上）或者核心刊物上发表学术论文，且论文答辩过程中思路清晰、流畅。 </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说明：答辩人需在答辩开始之前向答辩委员会委员递交发表论文情况统计表，需经学院研究生部审核并签字方可认定。</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二、答辩程序</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为保证有充分的时间进行论文答辩，博士学位论文答辩一般在一个时间单位（4小时左右）只答辩一至两篇论文，硕士学位论文答辩一般在一个时间单位（4小时左右）只答辩三至四篇论文。答辩要详细记录和录音，博士论文答辩必需有录音。</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 xml:space="preserve"> 研究生学位论文答辩必须以公开方式进行（须保密除外），论文答辩的具体程序如下：</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lastRenderedPageBreak/>
        <w:t>1、学院研究生部或各系部及附属医院管理部门负责人或委托人宣布答辩主席、答辩委员及学位申请人；</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2、答辩主席宣布开会；</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3、导师介绍学位申请人的研究生课程学习成绩和论文工作情况；</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4、学位申请人报告论文的主要内容；</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5、答辩委员提问，申请人回答问题（可即问即答，也可休会15-20分钟让申请人准备）；</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6、休会，委员举行会议，由答辩秘书宣读指导教师和论文评阅人的学术评语，商定评价论文的标准，并对论文做出评价，对是否通过论文答辩和建议授予学位进行表决；</w:t>
      </w:r>
    </w:p>
    <w:p w:rsidR="00F71D78" w:rsidRDefault="00F71D78" w:rsidP="00F71D78">
      <w:pPr>
        <w:spacing w:line="360" w:lineRule="auto"/>
        <w:ind w:firstLineChars="200" w:firstLine="480"/>
        <w:rPr>
          <w:rFonts w:ascii="宋体" w:hAnsi="宋体" w:hint="eastAsia"/>
          <w:sz w:val="24"/>
          <w:szCs w:val="24"/>
        </w:rPr>
      </w:pPr>
      <w:r>
        <w:rPr>
          <w:rFonts w:ascii="宋体" w:hAnsi="宋体" w:hint="eastAsia"/>
          <w:sz w:val="24"/>
          <w:szCs w:val="24"/>
        </w:rPr>
        <w:t>7、主席宣布答辩委员会对论文的评语、评分等级和投票结果。</w:t>
      </w:r>
    </w:p>
    <w:p w:rsidR="00F71D78" w:rsidRDefault="00F71D78" w:rsidP="00F71D78">
      <w:pPr>
        <w:spacing w:line="360" w:lineRule="auto"/>
        <w:ind w:firstLineChars="200" w:firstLine="480"/>
        <w:rPr>
          <w:rFonts w:ascii="宋体" w:hAnsi="宋体" w:hint="eastAsia"/>
          <w:sz w:val="24"/>
          <w:szCs w:val="24"/>
        </w:rPr>
      </w:pPr>
    </w:p>
    <w:p w:rsidR="00F71D78" w:rsidRDefault="00F71D78" w:rsidP="00F71D78">
      <w:pPr>
        <w:spacing w:line="360" w:lineRule="auto"/>
        <w:rPr>
          <w:rFonts w:ascii="宋体" w:hAnsi="宋体" w:hint="eastAsia"/>
          <w:sz w:val="24"/>
          <w:szCs w:val="24"/>
        </w:rPr>
      </w:pPr>
      <w:r>
        <w:rPr>
          <w:rFonts w:ascii="宋体" w:hAnsi="宋体" w:hint="eastAsia"/>
          <w:sz w:val="24"/>
          <w:szCs w:val="24"/>
        </w:rPr>
        <w:t>附件：厦门大学医学院研究生学位论文答辩流程图</w:t>
      </w:r>
    </w:p>
    <w:p w:rsidR="00F71D78" w:rsidRDefault="00F71D78" w:rsidP="00F71D78">
      <w:pPr>
        <w:spacing w:line="360" w:lineRule="auto"/>
        <w:ind w:leftChars="229" w:left="481" w:firstLineChars="1700" w:firstLine="4080"/>
        <w:rPr>
          <w:rFonts w:ascii="宋体" w:hAnsi="宋体" w:hint="eastAsia"/>
          <w:sz w:val="24"/>
          <w:szCs w:val="24"/>
        </w:rPr>
      </w:pPr>
      <w:r>
        <w:rPr>
          <w:rFonts w:ascii="宋体" w:hAnsi="宋体" w:hint="eastAsia"/>
          <w:sz w:val="24"/>
          <w:szCs w:val="24"/>
        </w:rPr>
        <w:t xml:space="preserve"> </w:t>
      </w:r>
    </w:p>
    <w:p w:rsidR="00F71D78" w:rsidRDefault="00F71D78" w:rsidP="00F71D78">
      <w:pPr>
        <w:spacing w:line="360" w:lineRule="auto"/>
        <w:rPr>
          <w:rFonts w:ascii="仿宋" w:eastAsia="仿宋" w:hAnsi="仿宋"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rPr>
          <w:rFonts w:hint="eastAsia"/>
          <w:sz w:val="24"/>
        </w:rPr>
      </w:pPr>
    </w:p>
    <w:p w:rsidR="00F71D78" w:rsidRDefault="00F71D78" w:rsidP="00F71D78">
      <w:pPr>
        <w:spacing w:line="360" w:lineRule="auto"/>
        <w:rPr>
          <w:rFonts w:ascii="宋体" w:hAnsi="宋体" w:hint="eastAsia"/>
          <w:sz w:val="28"/>
          <w:szCs w:val="28"/>
        </w:rPr>
      </w:pPr>
      <w:r>
        <w:rPr>
          <w:rFonts w:ascii="宋体" w:hAnsi="宋体" w:hint="eastAsia"/>
          <w:sz w:val="28"/>
          <w:szCs w:val="28"/>
        </w:rPr>
        <w:lastRenderedPageBreak/>
        <w:t>附件：厦门大学医学院研究生学位论文答辩流程图</w:t>
      </w:r>
    </w:p>
    <w:p w:rsidR="00F71D78" w:rsidRDefault="00F71D78" w:rsidP="00F71D78">
      <w:pPr>
        <w:rPr>
          <w:rFonts w:ascii="宋体" w:hAnsi="宋体" w:hint="eastAsia"/>
          <w:sz w:val="24"/>
        </w:rPr>
      </w:pPr>
    </w:p>
    <w:p w:rsidR="00F71D78" w:rsidRDefault="00F71D78" w:rsidP="00F71D78">
      <w:pPr>
        <w:rPr>
          <w:rFonts w:ascii="宋体" w:hAnsi="宋体" w:hint="eastAsia"/>
          <w:sz w:val="24"/>
        </w:rPr>
      </w:pPr>
    </w:p>
    <w:p w:rsidR="00F71D78" w:rsidRDefault="00F71D78" w:rsidP="00F71D78">
      <w:pPr>
        <w:rPr>
          <w:rFonts w:ascii="宋体" w:hAnsi="宋体" w:hint="eastAsia"/>
          <w:sz w:val="24"/>
        </w:rPr>
      </w:pPr>
      <w:r>
        <w:rPr>
          <w:rFonts w:ascii="宋体" w:hAnsi="宋体" w:hint="eastAsia"/>
          <w:sz w:val="24"/>
          <w:lang w:val="en-US" w:eastAsia="zh-CN"/>
        </w:rPr>
        <w:pict>
          <v:roundrect id="_x0000_s2062" style="position:absolute;left:0;text-align:left;margin-left:118.5pt;margin-top:12.6pt;width:198.45pt;height:44.9pt;z-index:251667456" arcsize="10923f" filled="f">
            <v:textbox>
              <w:txbxContent>
                <w:p w:rsidR="00F71D78" w:rsidRDefault="00F71D78" w:rsidP="00F71D78">
                  <w:pPr>
                    <w:jc w:val="center"/>
                    <w:rPr>
                      <w:rFonts w:ascii="宋体" w:hAnsi="宋体" w:hint="eastAsia"/>
                      <w:sz w:val="24"/>
                    </w:rPr>
                  </w:pPr>
                  <w:r>
                    <w:rPr>
                      <w:rFonts w:ascii="宋体" w:hAnsi="宋体" w:hint="eastAsia"/>
                      <w:sz w:val="24"/>
                    </w:rPr>
                    <w:t>宣布答辩主席、答辩委员及学位</w:t>
                  </w:r>
                </w:p>
                <w:p w:rsidR="00F71D78" w:rsidRDefault="00F71D78" w:rsidP="00F71D78">
                  <w:pPr>
                    <w:jc w:val="center"/>
                    <w:rPr>
                      <w:rFonts w:ascii="宋体" w:hAnsi="宋体" w:hint="eastAsia"/>
                      <w:sz w:val="24"/>
                    </w:rPr>
                  </w:pPr>
                  <w:r>
                    <w:rPr>
                      <w:rFonts w:ascii="宋体" w:hAnsi="宋体" w:hint="eastAsia"/>
                      <w:sz w:val="24"/>
                    </w:rPr>
                    <w:t>申请人</w:t>
                  </w:r>
                </w:p>
              </w:txbxContent>
            </v:textbox>
          </v:roundrect>
        </w:pict>
      </w:r>
    </w:p>
    <w:p w:rsidR="00F71D78" w:rsidRDefault="00F71D78" w:rsidP="00F71D78">
      <w:pPr>
        <w:rPr>
          <w:rFonts w:ascii="宋体" w:hAnsi="宋体" w:hint="eastAsia"/>
          <w:sz w:val="24"/>
        </w:rPr>
      </w:pPr>
    </w:p>
    <w:p w:rsidR="00F71D78" w:rsidRDefault="00F71D78" w:rsidP="00F71D78">
      <w:pPr>
        <w:rPr>
          <w:rFonts w:ascii="宋体" w:hAnsi="宋体" w:hint="eastAsia"/>
          <w:sz w:val="24"/>
        </w:rPr>
      </w:pPr>
    </w:p>
    <w:p w:rsidR="00F71D78" w:rsidRDefault="00F71D78" w:rsidP="00F71D78">
      <w:pPr>
        <w:rPr>
          <w:rFonts w:ascii="宋体" w:hAnsi="宋体" w:hint="eastAsia"/>
          <w:sz w:val="24"/>
        </w:rPr>
      </w:pPr>
      <w:r>
        <w:rPr>
          <w:rFonts w:ascii="宋体" w:hAnsi="宋体" w:hint="eastAsia"/>
          <w:sz w:val="24"/>
          <w:lang w:val="en-US" w:eastAsia="zh-CN"/>
        </w:rPr>
        <w:pict>
          <v:line id="_x0000_s2063" style="position:absolute;left:0;text-align:left;flip:x;z-index:251668480" from="3in,11.1pt" to="216.75pt,31.2pt" strokeweight="4pt">
            <v:stroke endarrow="block" endarrowwidth="narrow" endarrowlength="short"/>
          </v:line>
        </w:pict>
      </w:r>
    </w:p>
    <w:p w:rsidR="00F71D78" w:rsidRDefault="00F71D78" w:rsidP="00F71D78">
      <w:pPr>
        <w:rPr>
          <w:rFonts w:ascii="宋体" w:hAnsi="宋体" w:hint="eastAsia"/>
          <w:sz w:val="24"/>
        </w:rPr>
      </w:pPr>
      <w:r>
        <w:rPr>
          <w:rFonts w:ascii="宋体" w:hAnsi="宋体"/>
          <w:sz w:val="20"/>
          <w:lang w:val="en-US" w:eastAsia="zh-CN"/>
        </w:rPr>
        <w:pict>
          <v:roundrect id="_x0000_s2050" style="position:absolute;left:0;text-align:left;margin-left:117pt;margin-top:14.8pt;width:198.45pt;height:22.7pt;z-index:251660288" arcsize="10923f" filled="f">
            <v:textbox>
              <w:txbxContent>
                <w:p w:rsidR="00F71D78" w:rsidRDefault="00F71D78" w:rsidP="00F71D78">
                  <w:pPr>
                    <w:jc w:val="center"/>
                    <w:rPr>
                      <w:rFonts w:ascii="宋体" w:hAnsi="宋体" w:hint="eastAsia"/>
                      <w:sz w:val="24"/>
                    </w:rPr>
                  </w:pPr>
                  <w:r>
                    <w:rPr>
                      <w:rFonts w:ascii="宋体" w:hAnsi="宋体" w:hint="eastAsia"/>
                      <w:sz w:val="24"/>
                    </w:rPr>
                    <w:t>主席宣布开会</w:t>
                  </w:r>
                </w:p>
              </w:txbxContent>
            </v:textbox>
          </v:roundrect>
        </w:pict>
      </w:r>
    </w:p>
    <w:p w:rsidR="00F71D78" w:rsidRDefault="00F71D78" w:rsidP="00F71D78">
      <w:pPr>
        <w:rPr>
          <w:rFonts w:ascii="宋体" w:hAnsi="宋体" w:hint="eastAsia"/>
          <w:sz w:val="24"/>
        </w:rPr>
      </w:pPr>
    </w:p>
    <w:p w:rsidR="00F71D78" w:rsidRDefault="00F71D78" w:rsidP="00F71D78">
      <w:pPr>
        <w:rPr>
          <w:rFonts w:ascii="宋体" w:hAnsi="宋体" w:hint="eastAsia"/>
          <w:sz w:val="24"/>
        </w:rPr>
      </w:pPr>
      <w:r>
        <w:rPr>
          <w:rFonts w:ascii="宋体" w:hAnsi="宋体" w:hint="eastAsia"/>
          <w:sz w:val="24"/>
          <w:lang w:val="en-US" w:eastAsia="zh-CN"/>
        </w:rPr>
        <w:pict>
          <v:group id="_x0000_s2056" style="position:absolute;left:0;text-align:left;margin-left:212.25pt;margin-top:6.3pt;width:8.5pt;height:173.1pt;z-index:251666432" coordsize="170,346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7" type="#_x0000_t67" style="position:absolute;width:170;height:312;flip:x" fillcolor="black">
              <v:textbox style="layout-flow:vertical-ideographic"/>
            </v:shape>
            <v:shape id="_x0000_s2058" type="#_x0000_t67" style="position:absolute;top:780;width:170;height:312;flip:x" fillcolor="black">
              <v:textbox style="layout-flow:vertical-ideographic"/>
            </v:shape>
            <v:shape id="_x0000_s2059" type="#_x0000_t67" style="position:absolute;top:1580;width:170;height:312;flip:x" fillcolor="black">
              <v:textbox style="layout-flow:vertical-ideographic"/>
            </v:shape>
            <v:shape id="_x0000_s2060" type="#_x0000_t67" style="position:absolute;top:2370;width:170;height:312;flip:x" fillcolor="black">
              <v:textbox style="layout-flow:vertical-ideographic"/>
            </v:shape>
            <v:shape id="_x0000_s2061" type="#_x0000_t67" style="position:absolute;top:3150;width:170;height:312;flip:x" fillcolor="black">
              <v:textbox style="layout-flow:vertical-ideographic"/>
            </v:shape>
          </v:group>
        </w:pict>
      </w:r>
    </w:p>
    <w:p w:rsidR="00F71D78" w:rsidRDefault="00F71D78" w:rsidP="00F71D78">
      <w:pPr>
        <w:rPr>
          <w:rFonts w:ascii="宋体" w:hAnsi="宋体" w:hint="eastAsia"/>
          <w:sz w:val="24"/>
        </w:rPr>
      </w:pPr>
      <w:r>
        <w:rPr>
          <w:rFonts w:ascii="宋体" w:hAnsi="宋体" w:hint="eastAsia"/>
          <w:sz w:val="24"/>
          <w:lang w:val="en-US" w:eastAsia="zh-CN"/>
        </w:rPr>
        <w:pict>
          <v:roundrect id="_x0000_s2051" style="position:absolute;left:0;text-align:left;margin-left:117pt;margin-top:7.1pt;width:198.45pt;height:22.7pt;z-index:251661312" arcsize="10923f" filled="f">
            <v:textbox>
              <w:txbxContent>
                <w:p w:rsidR="00F71D78" w:rsidRDefault="00F71D78" w:rsidP="00F71D78">
                  <w:pPr>
                    <w:jc w:val="center"/>
                    <w:rPr>
                      <w:rFonts w:ascii="宋体" w:hAnsi="宋体" w:hint="eastAsia"/>
                      <w:sz w:val="24"/>
                    </w:rPr>
                  </w:pPr>
                  <w:r>
                    <w:rPr>
                      <w:rFonts w:ascii="宋体" w:hAnsi="宋体" w:hint="eastAsia"/>
                      <w:sz w:val="24"/>
                    </w:rPr>
                    <w:t>导师介绍</w:t>
                  </w:r>
                </w:p>
              </w:txbxContent>
            </v:textbox>
          </v:roundrect>
        </w:pict>
      </w:r>
    </w:p>
    <w:p w:rsidR="00F71D78" w:rsidRDefault="00F71D78" w:rsidP="00F71D78">
      <w:pPr>
        <w:rPr>
          <w:rFonts w:ascii="宋体" w:hAnsi="宋体" w:hint="eastAsia"/>
          <w:sz w:val="24"/>
        </w:rPr>
      </w:pPr>
    </w:p>
    <w:p w:rsidR="00F71D78" w:rsidRDefault="00F71D78" w:rsidP="00F71D78">
      <w:pPr>
        <w:rPr>
          <w:rFonts w:ascii="宋体" w:hAnsi="宋体" w:hint="eastAsia"/>
          <w:sz w:val="24"/>
        </w:rPr>
      </w:pPr>
    </w:p>
    <w:p w:rsidR="00F71D78" w:rsidRDefault="00F71D78" w:rsidP="00F71D78">
      <w:pPr>
        <w:rPr>
          <w:rFonts w:ascii="宋体" w:hAnsi="宋体" w:hint="eastAsia"/>
          <w:sz w:val="24"/>
        </w:rPr>
      </w:pPr>
      <w:r>
        <w:rPr>
          <w:rFonts w:ascii="宋体" w:hAnsi="宋体" w:hint="eastAsia"/>
          <w:sz w:val="24"/>
          <w:lang w:val="en-US" w:eastAsia="zh-CN"/>
        </w:rPr>
        <w:pict>
          <v:roundrect id="_x0000_s2052" style="position:absolute;left:0;text-align:left;margin-left:117pt;margin-top:.1pt;width:198.45pt;height:22.7pt;z-index:251662336" arcsize="10923f" filled="f">
            <v:textbox>
              <w:txbxContent>
                <w:p w:rsidR="00F71D78" w:rsidRDefault="00F71D78" w:rsidP="00F71D78">
                  <w:pPr>
                    <w:jc w:val="center"/>
                    <w:rPr>
                      <w:rFonts w:ascii="宋体" w:hAnsi="宋体" w:hint="eastAsia"/>
                      <w:sz w:val="24"/>
                    </w:rPr>
                  </w:pPr>
                  <w:r>
                    <w:rPr>
                      <w:rFonts w:ascii="宋体" w:hAnsi="宋体" w:hint="eastAsia"/>
                      <w:sz w:val="24"/>
                    </w:rPr>
                    <w:t>学位申请人报告论文的主要内容</w:t>
                  </w:r>
                </w:p>
              </w:txbxContent>
            </v:textbox>
          </v:roundrect>
        </w:pict>
      </w:r>
    </w:p>
    <w:p w:rsidR="00F71D78" w:rsidRDefault="00F71D78" w:rsidP="00F71D78">
      <w:pPr>
        <w:rPr>
          <w:rFonts w:ascii="宋体" w:hAnsi="宋体" w:hint="eastAsia"/>
          <w:sz w:val="24"/>
        </w:rPr>
      </w:pPr>
    </w:p>
    <w:p w:rsidR="00F71D78" w:rsidRDefault="00F71D78" w:rsidP="00F71D78">
      <w:pPr>
        <w:rPr>
          <w:rFonts w:ascii="宋体" w:hAnsi="宋体" w:hint="eastAsia"/>
          <w:sz w:val="24"/>
        </w:rPr>
      </w:pPr>
      <w:r>
        <w:rPr>
          <w:rFonts w:ascii="宋体" w:hAnsi="宋体" w:hint="eastAsia"/>
          <w:sz w:val="24"/>
          <w:lang w:val="en-US" w:eastAsia="zh-CN"/>
        </w:rPr>
        <w:pict>
          <v:roundrect id="_x0000_s2053" style="position:absolute;left:0;text-align:left;margin-left:117pt;margin-top:8.2pt;width:198.45pt;height:22.7pt;z-index:251663360" arcsize="10923f" filled="f">
            <v:textbox>
              <w:txbxContent>
                <w:p w:rsidR="00F71D78" w:rsidRDefault="00F71D78" w:rsidP="00F71D78">
                  <w:pPr>
                    <w:jc w:val="center"/>
                    <w:rPr>
                      <w:rFonts w:ascii="宋体" w:hAnsi="宋体"/>
                      <w:sz w:val="24"/>
                    </w:rPr>
                  </w:pPr>
                  <w:r>
                    <w:rPr>
                      <w:rFonts w:ascii="宋体" w:hAnsi="宋体" w:hint="eastAsia"/>
                      <w:sz w:val="24"/>
                    </w:rPr>
                    <w:t>委员提问、申请人答辩</w:t>
                  </w:r>
                </w:p>
              </w:txbxContent>
            </v:textbox>
          </v:roundrect>
        </w:pict>
      </w:r>
    </w:p>
    <w:p w:rsidR="00F71D78" w:rsidRDefault="00F71D78" w:rsidP="00F71D78">
      <w:pPr>
        <w:rPr>
          <w:rFonts w:ascii="宋体" w:hAnsi="宋体" w:hint="eastAsia"/>
          <w:sz w:val="24"/>
        </w:rPr>
      </w:pPr>
    </w:p>
    <w:p w:rsidR="00F71D78" w:rsidRDefault="00F71D78" w:rsidP="00F71D78">
      <w:pPr>
        <w:rPr>
          <w:rFonts w:ascii="宋体" w:hAnsi="宋体" w:hint="eastAsia"/>
          <w:sz w:val="24"/>
        </w:rPr>
      </w:pPr>
    </w:p>
    <w:p w:rsidR="00F71D78" w:rsidRDefault="00F71D78" w:rsidP="00F71D78">
      <w:pPr>
        <w:rPr>
          <w:rFonts w:ascii="宋体" w:hAnsi="宋体" w:hint="eastAsia"/>
          <w:sz w:val="24"/>
        </w:rPr>
      </w:pPr>
      <w:r>
        <w:rPr>
          <w:rFonts w:ascii="宋体" w:hAnsi="宋体" w:hint="eastAsia"/>
          <w:sz w:val="24"/>
          <w:lang w:val="en-US" w:eastAsia="zh-CN"/>
        </w:rPr>
        <w:pict>
          <v:roundrect id="_x0000_s2054" style="position:absolute;left:0;text-align:left;margin-left:116.55pt;margin-top:.6pt;width:198.45pt;height:22.7pt;z-index:251664384" arcsize="10923f" filled="f">
            <v:textbox>
              <w:txbxContent>
                <w:p w:rsidR="00F71D78" w:rsidRDefault="00F71D78" w:rsidP="00F71D78">
                  <w:pPr>
                    <w:jc w:val="center"/>
                    <w:rPr>
                      <w:rFonts w:ascii="宋体" w:hAnsi="宋体" w:hint="eastAsia"/>
                      <w:sz w:val="24"/>
                    </w:rPr>
                  </w:pPr>
                  <w:r>
                    <w:rPr>
                      <w:rFonts w:ascii="宋体" w:hAnsi="宋体" w:hint="eastAsia"/>
                      <w:sz w:val="24"/>
                    </w:rPr>
                    <w:t>休会，委员举行会议并表决</w:t>
                  </w:r>
                </w:p>
              </w:txbxContent>
            </v:textbox>
          </v:roundrect>
        </w:pict>
      </w:r>
    </w:p>
    <w:p w:rsidR="00F71D78" w:rsidRDefault="00F71D78" w:rsidP="00F71D78">
      <w:pPr>
        <w:rPr>
          <w:rFonts w:ascii="宋体" w:hAnsi="宋体" w:hint="eastAsia"/>
          <w:sz w:val="24"/>
        </w:rPr>
      </w:pPr>
    </w:p>
    <w:p w:rsidR="00F71D78" w:rsidRDefault="00F71D78" w:rsidP="00F71D78">
      <w:pPr>
        <w:rPr>
          <w:rFonts w:ascii="宋体" w:hAnsi="宋体" w:hint="eastAsia"/>
          <w:sz w:val="24"/>
        </w:rPr>
      </w:pPr>
      <w:r>
        <w:rPr>
          <w:rFonts w:ascii="宋体" w:hAnsi="宋体" w:hint="eastAsia"/>
          <w:sz w:val="24"/>
          <w:lang w:val="en-US" w:eastAsia="zh-CN"/>
        </w:rPr>
        <w:pict>
          <v:roundrect id="_x0000_s2055" style="position:absolute;left:0;text-align:left;margin-left:117pt;margin-top:8.7pt;width:198.45pt;height:22.7pt;z-index:251665408" arcsize="10923f" filled="f">
            <v:textbox>
              <w:txbxContent>
                <w:p w:rsidR="00F71D78" w:rsidRDefault="00F71D78" w:rsidP="00F71D78">
                  <w:pPr>
                    <w:jc w:val="center"/>
                    <w:rPr>
                      <w:rFonts w:ascii="宋体" w:hAnsi="宋体"/>
                      <w:sz w:val="24"/>
                    </w:rPr>
                  </w:pPr>
                  <w:r>
                    <w:rPr>
                      <w:rFonts w:ascii="宋体" w:hAnsi="宋体" w:hint="eastAsia"/>
                      <w:sz w:val="24"/>
                    </w:rPr>
                    <w:t>主席宣布答辩结果</w:t>
                  </w:r>
                </w:p>
              </w:txbxContent>
            </v:textbox>
          </v:roundrect>
        </w:pict>
      </w:r>
    </w:p>
    <w:p w:rsidR="00F71D78" w:rsidRDefault="00F71D78" w:rsidP="00F71D78">
      <w:pPr>
        <w:rPr>
          <w:rFonts w:ascii="宋体" w:hAnsi="宋体" w:hint="eastAsia"/>
          <w:sz w:val="24"/>
        </w:rPr>
      </w:pPr>
    </w:p>
    <w:p w:rsidR="00F71D78" w:rsidRDefault="00F71D78" w:rsidP="00F71D78">
      <w:pPr>
        <w:rPr>
          <w:rFonts w:ascii="宋体" w:hAnsi="宋体" w:hint="eastAsia"/>
          <w:sz w:val="24"/>
        </w:rPr>
      </w:pPr>
    </w:p>
    <w:p w:rsidR="00F71D78" w:rsidRDefault="00F71D78" w:rsidP="00F71D78"/>
    <w:p w:rsidR="00F71D78" w:rsidRDefault="00F71D78" w:rsidP="00F71D78">
      <w:pPr>
        <w:jc w:val="center"/>
        <w:rPr>
          <w:rFonts w:ascii="黑体" w:eastAsia="黑体" w:hAnsi="黑体" w:hint="eastAsia"/>
          <w:sz w:val="36"/>
          <w:szCs w:val="36"/>
        </w:rPr>
      </w:pPr>
    </w:p>
    <w:p w:rsidR="00F71D78" w:rsidRDefault="00F71D78" w:rsidP="00F71D78">
      <w:pPr>
        <w:jc w:val="center"/>
        <w:rPr>
          <w:rFonts w:ascii="黑体" w:eastAsia="黑体" w:hAnsi="黑体" w:hint="eastAsia"/>
          <w:sz w:val="36"/>
          <w:szCs w:val="36"/>
        </w:rPr>
      </w:pPr>
    </w:p>
    <w:p w:rsidR="00F71D78" w:rsidRDefault="00F71D78" w:rsidP="00F71D78">
      <w:pPr>
        <w:jc w:val="center"/>
        <w:rPr>
          <w:rFonts w:ascii="黑体" w:eastAsia="黑体" w:hAnsi="黑体" w:hint="eastAsia"/>
          <w:sz w:val="36"/>
          <w:szCs w:val="36"/>
        </w:rPr>
      </w:pPr>
    </w:p>
    <w:p w:rsidR="00F71D78" w:rsidRDefault="00F71D78" w:rsidP="00F71D78">
      <w:pPr>
        <w:jc w:val="center"/>
        <w:rPr>
          <w:rFonts w:ascii="黑体" w:eastAsia="黑体" w:hAnsi="黑体" w:hint="eastAsia"/>
          <w:sz w:val="36"/>
          <w:szCs w:val="36"/>
        </w:rPr>
      </w:pPr>
    </w:p>
    <w:p w:rsidR="00F71D78" w:rsidRDefault="00F71D78" w:rsidP="00F71D78">
      <w:pPr>
        <w:jc w:val="center"/>
        <w:rPr>
          <w:rFonts w:ascii="黑体" w:eastAsia="黑体" w:hAnsi="黑体" w:hint="eastAsia"/>
          <w:sz w:val="36"/>
          <w:szCs w:val="36"/>
        </w:rPr>
      </w:pPr>
    </w:p>
    <w:p w:rsidR="00F71D78" w:rsidRDefault="00F71D78" w:rsidP="00F71D78">
      <w:pPr>
        <w:jc w:val="center"/>
        <w:rPr>
          <w:rFonts w:ascii="黑体" w:eastAsia="黑体" w:hAnsi="黑体" w:hint="eastAsia"/>
          <w:sz w:val="36"/>
          <w:szCs w:val="36"/>
        </w:rPr>
      </w:pPr>
    </w:p>
    <w:p w:rsidR="00F71D78" w:rsidRDefault="00F71D78" w:rsidP="00F71D78">
      <w:pPr>
        <w:jc w:val="center"/>
        <w:rPr>
          <w:rFonts w:ascii="黑体" w:eastAsia="黑体" w:hAnsi="黑体" w:hint="eastAsia"/>
          <w:sz w:val="36"/>
          <w:szCs w:val="36"/>
        </w:rPr>
      </w:pPr>
    </w:p>
    <w:p w:rsidR="00F71D78" w:rsidRDefault="00F71D78" w:rsidP="00F71D78">
      <w:pPr>
        <w:jc w:val="center"/>
        <w:rPr>
          <w:rFonts w:ascii="黑体" w:eastAsia="黑体" w:hAnsi="黑体" w:hint="eastAsia"/>
          <w:sz w:val="36"/>
          <w:szCs w:val="36"/>
        </w:rPr>
      </w:pPr>
    </w:p>
    <w:p w:rsidR="00F71D78" w:rsidRDefault="00F71D78" w:rsidP="00F71D78">
      <w:pPr>
        <w:jc w:val="center"/>
        <w:rPr>
          <w:rFonts w:ascii="黑体" w:eastAsia="黑体" w:hAnsi="黑体" w:hint="eastAsia"/>
          <w:sz w:val="36"/>
          <w:szCs w:val="36"/>
        </w:rPr>
      </w:pPr>
    </w:p>
    <w:p w:rsidR="00581AC8" w:rsidRPr="00F71D78" w:rsidRDefault="00581AC8"/>
    <w:sectPr w:rsidR="00581AC8" w:rsidRPr="00F71D78"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2F6" w:rsidRDefault="004152F6" w:rsidP="00F71D78">
      <w:r>
        <w:separator/>
      </w:r>
    </w:p>
  </w:endnote>
  <w:endnote w:type="continuationSeparator" w:id="0">
    <w:p w:rsidR="004152F6" w:rsidRDefault="004152F6" w:rsidP="00F71D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2F6" w:rsidRDefault="004152F6" w:rsidP="00F71D78">
      <w:r>
        <w:separator/>
      </w:r>
    </w:p>
  </w:footnote>
  <w:footnote w:type="continuationSeparator" w:id="0">
    <w:p w:rsidR="004152F6" w:rsidRDefault="004152F6" w:rsidP="00F71D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D78"/>
    <w:rsid w:val="0005700E"/>
    <w:rsid w:val="000650DD"/>
    <w:rsid w:val="000756FE"/>
    <w:rsid w:val="000C298E"/>
    <w:rsid w:val="000E2ECA"/>
    <w:rsid w:val="00102FD1"/>
    <w:rsid w:val="00153CFE"/>
    <w:rsid w:val="0017035B"/>
    <w:rsid w:val="00181F12"/>
    <w:rsid w:val="0018523C"/>
    <w:rsid w:val="0018619C"/>
    <w:rsid w:val="001C38D3"/>
    <w:rsid w:val="001C49B5"/>
    <w:rsid w:val="001D3489"/>
    <w:rsid w:val="00205023"/>
    <w:rsid w:val="00216113"/>
    <w:rsid w:val="002506E5"/>
    <w:rsid w:val="002909E6"/>
    <w:rsid w:val="00291B79"/>
    <w:rsid w:val="002A4A23"/>
    <w:rsid w:val="002B67C6"/>
    <w:rsid w:val="002C708D"/>
    <w:rsid w:val="00330BC3"/>
    <w:rsid w:val="00404CA0"/>
    <w:rsid w:val="004152F6"/>
    <w:rsid w:val="00476197"/>
    <w:rsid w:val="004F4124"/>
    <w:rsid w:val="005324BE"/>
    <w:rsid w:val="00567AF3"/>
    <w:rsid w:val="00581AC8"/>
    <w:rsid w:val="005C73A7"/>
    <w:rsid w:val="005E31EF"/>
    <w:rsid w:val="006059E4"/>
    <w:rsid w:val="006571B3"/>
    <w:rsid w:val="0066056A"/>
    <w:rsid w:val="00672EDF"/>
    <w:rsid w:val="00695D11"/>
    <w:rsid w:val="006A7E81"/>
    <w:rsid w:val="006F15B7"/>
    <w:rsid w:val="00754FCD"/>
    <w:rsid w:val="0076680A"/>
    <w:rsid w:val="00805C2B"/>
    <w:rsid w:val="0080796E"/>
    <w:rsid w:val="00815CF0"/>
    <w:rsid w:val="00851A3C"/>
    <w:rsid w:val="008D1650"/>
    <w:rsid w:val="00901A13"/>
    <w:rsid w:val="00903750"/>
    <w:rsid w:val="00965FC8"/>
    <w:rsid w:val="00986849"/>
    <w:rsid w:val="009879CC"/>
    <w:rsid w:val="00994895"/>
    <w:rsid w:val="009A364C"/>
    <w:rsid w:val="00A561E0"/>
    <w:rsid w:val="00AC0EE9"/>
    <w:rsid w:val="00AE786E"/>
    <w:rsid w:val="00B07F8A"/>
    <w:rsid w:val="00B43C1E"/>
    <w:rsid w:val="00B61FC0"/>
    <w:rsid w:val="00BD5C30"/>
    <w:rsid w:val="00BF6612"/>
    <w:rsid w:val="00C12F22"/>
    <w:rsid w:val="00C41619"/>
    <w:rsid w:val="00C60F16"/>
    <w:rsid w:val="00C66795"/>
    <w:rsid w:val="00C97E58"/>
    <w:rsid w:val="00CB2224"/>
    <w:rsid w:val="00CD11FE"/>
    <w:rsid w:val="00CF08A4"/>
    <w:rsid w:val="00D4644E"/>
    <w:rsid w:val="00D8172E"/>
    <w:rsid w:val="00DA543D"/>
    <w:rsid w:val="00DC25D4"/>
    <w:rsid w:val="00DC41F1"/>
    <w:rsid w:val="00DD4036"/>
    <w:rsid w:val="00DD7F05"/>
    <w:rsid w:val="00DF68B2"/>
    <w:rsid w:val="00E5177F"/>
    <w:rsid w:val="00EA13C7"/>
    <w:rsid w:val="00EA4DE6"/>
    <w:rsid w:val="00ED732E"/>
    <w:rsid w:val="00F37783"/>
    <w:rsid w:val="00F45C0A"/>
    <w:rsid w:val="00F473B3"/>
    <w:rsid w:val="00F71D78"/>
    <w:rsid w:val="00FE7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7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1D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71D78"/>
    <w:rPr>
      <w:sz w:val="18"/>
      <w:szCs w:val="18"/>
    </w:rPr>
  </w:style>
  <w:style w:type="paragraph" w:styleId="a4">
    <w:name w:val="footer"/>
    <w:basedOn w:val="a"/>
    <w:link w:val="Char0"/>
    <w:uiPriority w:val="99"/>
    <w:semiHidden/>
    <w:unhideWhenUsed/>
    <w:rsid w:val="00F71D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71D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Words>
  <Characters>883</Characters>
  <Application>Microsoft Office Word</Application>
  <DocSecurity>0</DocSecurity>
  <Lines>7</Lines>
  <Paragraphs>2</Paragraphs>
  <ScaleCrop>false</ScaleCrop>
  <Company>china</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2015-04-24T02:00:00Z</dcterms:created>
  <dcterms:modified xsi:type="dcterms:W3CDTF">2015-04-24T02:08:00Z</dcterms:modified>
</cp:coreProperties>
</file>