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00D" w:rsidRDefault="00A07CCB" w:rsidP="0022400D">
      <w:pPr>
        <w:pStyle w:val="2"/>
        <w:spacing w:line="560" w:lineRule="exact"/>
        <w:ind w:firstLineChars="0" w:firstLine="0"/>
        <w:jc w:val="center"/>
        <w:rPr>
          <w:rFonts w:eastAsia="黑体"/>
          <w:b/>
          <w:sz w:val="44"/>
          <w:szCs w:val="28"/>
        </w:rPr>
      </w:pPr>
      <w:r w:rsidRPr="00D05C91">
        <w:rPr>
          <w:rFonts w:eastAsia="黑体"/>
          <w:b/>
          <w:sz w:val="44"/>
          <w:szCs w:val="28"/>
        </w:rPr>
        <w:t>关于博士、硕士学位论文评阅工作</w:t>
      </w:r>
      <w:r w:rsidR="0022400D">
        <w:rPr>
          <w:rFonts w:eastAsia="黑体" w:hint="eastAsia"/>
          <w:b/>
          <w:sz w:val="44"/>
          <w:szCs w:val="28"/>
        </w:rPr>
        <w:t>要求</w:t>
      </w:r>
    </w:p>
    <w:p w:rsidR="00A07CCB" w:rsidRPr="00D05C91" w:rsidRDefault="00A07CCB" w:rsidP="0022400D">
      <w:pPr>
        <w:pStyle w:val="2"/>
        <w:spacing w:line="560" w:lineRule="exact"/>
        <w:ind w:firstLineChars="0" w:firstLine="0"/>
        <w:jc w:val="center"/>
        <w:rPr>
          <w:rFonts w:eastAsia="黑体"/>
          <w:b/>
          <w:sz w:val="44"/>
          <w:szCs w:val="28"/>
        </w:rPr>
      </w:pPr>
      <w:r w:rsidRPr="00D05C91">
        <w:rPr>
          <w:rFonts w:eastAsia="黑体"/>
          <w:b/>
          <w:sz w:val="44"/>
          <w:szCs w:val="28"/>
        </w:rPr>
        <w:t>的通知</w:t>
      </w:r>
    </w:p>
    <w:p w:rsidR="00D05C91" w:rsidRDefault="00A07CCB" w:rsidP="008F0733">
      <w:pPr>
        <w:pStyle w:val="2"/>
        <w:widowControl w:val="0"/>
        <w:spacing w:beforeLines="50" w:before="156" w:line="560" w:lineRule="exact"/>
        <w:ind w:firstLineChars="0" w:firstLine="0"/>
        <w:rPr>
          <w:rFonts w:eastAsia="仿宋_GB2312"/>
          <w:sz w:val="32"/>
          <w:szCs w:val="32"/>
        </w:rPr>
      </w:pPr>
      <w:r w:rsidRPr="00D05C91">
        <w:rPr>
          <w:rFonts w:eastAsia="仿宋_GB2312"/>
          <w:sz w:val="32"/>
          <w:szCs w:val="32"/>
        </w:rPr>
        <w:t>各学院（研究院）：</w:t>
      </w:r>
    </w:p>
    <w:p w:rsidR="00A07CCB" w:rsidRPr="00D05C91" w:rsidRDefault="00A07CCB" w:rsidP="008F0733">
      <w:pPr>
        <w:pStyle w:val="2"/>
        <w:widowControl w:val="0"/>
        <w:spacing w:line="560" w:lineRule="exact"/>
        <w:ind w:firstLine="656"/>
        <w:rPr>
          <w:rFonts w:eastAsia="仿宋_GB2312"/>
          <w:sz w:val="32"/>
          <w:szCs w:val="32"/>
        </w:rPr>
      </w:pPr>
      <w:r w:rsidRPr="00D05C91">
        <w:rPr>
          <w:rFonts w:eastAsia="仿宋_GB2312"/>
          <w:sz w:val="32"/>
          <w:szCs w:val="32"/>
        </w:rPr>
        <w:t>为进一步加强研究生学位论文质量保障和学位授予管理，提高研究生学位授予质量，经</w:t>
      </w:r>
      <w:r w:rsidRPr="00D05C91">
        <w:rPr>
          <w:rFonts w:eastAsia="仿宋_GB2312"/>
          <w:sz w:val="32"/>
          <w:szCs w:val="32"/>
        </w:rPr>
        <w:t>2019</w:t>
      </w:r>
      <w:r w:rsidRPr="00D05C91">
        <w:rPr>
          <w:rFonts w:eastAsia="仿宋_GB2312"/>
          <w:sz w:val="32"/>
          <w:szCs w:val="32"/>
        </w:rPr>
        <w:t>年</w:t>
      </w:r>
      <w:r w:rsidRPr="00D05C91">
        <w:rPr>
          <w:rFonts w:eastAsia="仿宋_GB2312"/>
          <w:sz w:val="32"/>
          <w:szCs w:val="32"/>
        </w:rPr>
        <w:t>11</w:t>
      </w:r>
      <w:r w:rsidRPr="00D05C91">
        <w:rPr>
          <w:rFonts w:eastAsia="仿宋_GB2312"/>
          <w:sz w:val="32"/>
          <w:szCs w:val="32"/>
        </w:rPr>
        <w:t>月</w:t>
      </w:r>
      <w:r w:rsidRPr="00D05C91">
        <w:rPr>
          <w:rFonts w:eastAsia="仿宋_GB2312"/>
          <w:sz w:val="32"/>
          <w:szCs w:val="32"/>
        </w:rPr>
        <w:t>19</w:t>
      </w:r>
      <w:r w:rsidRPr="00D05C91">
        <w:rPr>
          <w:rFonts w:eastAsia="仿宋_GB2312"/>
          <w:sz w:val="32"/>
          <w:szCs w:val="32"/>
        </w:rPr>
        <w:t>日第十届校学位评定委员会第二次全体会议审议，</w:t>
      </w:r>
      <w:r w:rsidR="0022400D">
        <w:rPr>
          <w:rFonts w:eastAsia="仿宋_GB2312" w:hint="eastAsia"/>
          <w:sz w:val="32"/>
          <w:szCs w:val="32"/>
        </w:rPr>
        <w:t>决定对</w:t>
      </w:r>
      <w:r w:rsidR="008733D0">
        <w:rPr>
          <w:rFonts w:eastAsia="仿宋_GB2312" w:hint="eastAsia"/>
          <w:sz w:val="32"/>
          <w:szCs w:val="32"/>
        </w:rPr>
        <w:t>博士、硕士学位论文评阅工作</w:t>
      </w:r>
      <w:r w:rsidR="0022400D">
        <w:rPr>
          <w:rFonts w:eastAsia="仿宋_GB2312" w:hint="eastAsia"/>
          <w:sz w:val="32"/>
          <w:szCs w:val="32"/>
        </w:rPr>
        <w:t>做</w:t>
      </w:r>
      <w:r w:rsidRPr="00D05C91">
        <w:rPr>
          <w:rFonts w:eastAsia="仿宋_GB2312"/>
          <w:sz w:val="32"/>
          <w:szCs w:val="32"/>
        </w:rPr>
        <w:t>如下</w:t>
      </w:r>
      <w:r w:rsidR="0022400D">
        <w:rPr>
          <w:rFonts w:eastAsia="仿宋_GB2312" w:hint="eastAsia"/>
          <w:sz w:val="32"/>
          <w:szCs w:val="32"/>
        </w:rPr>
        <w:t>要求</w:t>
      </w:r>
      <w:r w:rsidRPr="00D05C91">
        <w:rPr>
          <w:rFonts w:eastAsia="仿宋_GB2312"/>
          <w:sz w:val="32"/>
          <w:szCs w:val="32"/>
        </w:rPr>
        <w:t>：</w:t>
      </w:r>
    </w:p>
    <w:p w:rsidR="008F0733" w:rsidRPr="00D07E92" w:rsidRDefault="0022400D" w:rsidP="008F0733">
      <w:pPr>
        <w:pStyle w:val="2"/>
        <w:widowControl w:val="0"/>
        <w:spacing w:line="560" w:lineRule="exact"/>
        <w:ind w:firstLine="658"/>
        <w:rPr>
          <w:rFonts w:eastAsia="仿宋_GB2312"/>
          <w:b/>
          <w:sz w:val="32"/>
          <w:szCs w:val="32"/>
        </w:rPr>
      </w:pPr>
      <w:r w:rsidRPr="00D07E92">
        <w:rPr>
          <w:rFonts w:eastAsia="仿宋_GB2312" w:hint="eastAsia"/>
          <w:b/>
          <w:sz w:val="32"/>
          <w:szCs w:val="32"/>
        </w:rPr>
        <w:t>一</w:t>
      </w:r>
      <w:r w:rsidR="008733D0" w:rsidRPr="00D07E92">
        <w:rPr>
          <w:rFonts w:eastAsia="仿宋_GB2312" w:hint="eastAsia"/>
          <w:b/>
          <w:sz w:val="32"/>
          <w:szCs w:val="32"/>
        </w:rPr>
        <w:t>、</w:t>
      </w:r>
      <w:r w:rsidR="008F0733" w:rsidRPr="00D07E92">
        <w:rPr>
          <w:rFonts w:eastAsia="仿宋_GB2312" w:hint="eastAsia"/>
          <w:b/>
          <w:sz w:val="32"/>
          <w:szCs w:val="32"/>
        </w:rPr>
        <w:t>学位论文评阅人要求</w:t>
      </w:r>
    </w:p>
    <w:p w:rsidR="008733D0" w:rsidRPr="008733D0" w:rsidRDefault="008733D0" w:rsidP="008F0733">
      <w:pPr>
        <w:pStyle w:val="2"/>
        <w:widowControl w:val="0"/>
        <w:spacing w:line="560" w:lineRule="exact"/>
        <w:ind w:firstLine="656"/>
        <w:rPr>
          <w:rFonts w:eastAsia="仿宋_GB2312"/>
          <w:sz w:val="32"/>
          <w:szCs w:val="32"/>
        </w:rPr>
      </w:pPr>
      <w:r w:rsidRPr="008733D0">
        <w:rPr>
          <w:rFonts w:eastAsia="仿宋_GB2312" w:hint="eastAsia"/>
          <w:sz w:val="32"/>
          <w:szCs w:val="32"/>
        </w:rPr>
        <w:t>博士学位论文评阅人一般应为博士生导师，或为实务部门的教授级专家，或为参与指导过博士生的教授级专家。博士学位论文评阅人应不少于三名，且均为校外专家。</w:t>
      </w:r>
    </w:p>
    <w:p w:rsidR="0022237E" w:rsidRDefault="008733D0" w:rsidP="008F0733">
      <w:pPr>
        <w:pStyle w:val="2"/>
        <w:widowControl w:val="0"/>
        <w:spacing w:line="560" w:lineRule="exact"/>
        <w:ind w:firstLine="656"/>
        <w:rPr>
          <w:rFonts w:eastAsia="仿宋_GB2312"/>
          <w:sz w:val="32"/>
          <w:szCs w:val="32"/>
        </w:rPr>
      </w:pPr>
      <w:r w:rsidRPr="008733D0">
        <w:rPr>
          <w:rFonts w:eastAsia="仿宋_GB2312" w:hint="eastAsia"/>
          <w:sz w:val="32"/>
          <w:szCs w:val="32"/>
        </w:rPr>
        <w:t>硕士学位论文评阅人应为硕士生导师，或为具有高级专业技术职务的专家。对专业学位硕士学位论文评阅人的资质有特殊要求的，须报研究生院备案。硕士学位论文评阅人应不少于两名，且均为校外专家。</w:t>
      </w:r>
    </w:p>
    <w:p w:rsidR="0022237E" w:rsidRDefault="0022237E" w:rsidP="008F0733">
      <w:pPr>
        <w:pStyle w:val="2"/>
        <w:widowControl w:val="0"/>
        <w:spacing w:line="560" w:lineRule="exact"/>
        <w:ind w:firstLine="656"/>
        <w:rPr>
          <w:rFonts w:eastAsia="仿宋_GB2312"/>
          <w:sz w:val="32"/>
          <w:szCs w:val="32"/>
        </w:rPr>
      </w:pPr>
      <w:r>
        <w:rPr>
          <w:rFonts w:eastAsia="仿宋_GB2312" w:hint="eastAsia"/>
          <w:sz w:val="32"/>
          <w:szCs w:val="32"/>
        </w:rPr>
        <w:t>评阅人应是责任心强、学风正派、学术造诣较深的专家。</w:t>
      </w:r>
    </w:p>
    <w:p w:rsidR="001243CB" w:rsidRPr="00D07E92" w:rsidRDefault="008F0733" w:rsidP="008F0733">
      <w:pPr>
        <w:pStyle w:val="2"/>
        <w:widowControl w:val="0"/>
        <w:spacing w:line="560" w:lineRule="exact"/>
        <w:ind w:firstLine="658"/>
        <w:rPr>
          <w:rFonts w:eastAsia="仿宋_GB2312"/>
          <w:b/>
          <w:sz w:val="32"/>
          <w:szCs w:val="32"/>
        </w:rPr>
      </w:pPr>
      <w:r w:rsidRPr="00D07E92">
        <w:rPr>
          <w:rFonts w:eastAsia="仿宋_GB2312" w:hint="eastAsia"/>
          <w:b/>
          <w:sz w:val="32"/>
          <w:szCs w:val="32"/>
        </w:rPr>
        <w:t>二</w:t>
      </w:r>
      <w:r w:rsidR="008733D0" w:rsidRPr="00D07E92">
        <w:rPr>
          <w:rFonts w:eastAsia="仿宋_GB2312" w:hint="eastAsia"/>
          <w:b/>
          <w:sz w:val="32"/>
          <w:szCs w:val="32"/>
        </w:rPr>
        <w:t>、</w:t>
      </w:r>
      <w:r w:rsidR="001243CB" w:rsidRPr="00D07E92">
        <w:rPr>
          <w:rFonts w:eastAsia="仿宋_GB2312" w:hint="eastAsia"/>
          <w:b/>
          <w:sz w:val="32"/>
          <w:szCs w:val="32"/>
        </w:rPr>
        <w:t>评阅人评阅意见</w:t>
      </w:r>
      <w:r w:rsidRPr="00D07E92">
        <w:rPr>
          <w:rFonts w:eastAsia="仿宋_GB2312" w:hint="eastAsia"/>
          <w:b/>
          <w:sz w:val="32"/>
          <w:szCs w:val="32"/>
        </w:rPr>
        <w:t>处理</w:t>
      </w:r>
    </w:p>
    <w:p w:rsidR="00A07CCB" w:rsidRPr="00D05C91" w:rsidRDefault="008733D0" w:rsidP="008F0733">
      <w:pPr>
        <w:pStyle w:val="2"/>
        <w:widowControl w:val="0"/>
        <w:spacing w:line="560" w:lineRule="exact"/>
        <w:ind w:firstLine="656"/>
        <w:rPr>
          <w:rFonts w:eastAsia="仿宋_GB2312"/>
          <w:sz w:val="32"/>
          <w:szCs w:val="32"/>
        </w:rPr>
      </w:pPr>
      <w:r>
        <w:rPr>
          <w:rFonts w:eastAsia="仿宋_GB2312" w:hint="eastAsia"/>
          <w:sz w:val="32"/>
          <w:szCs w:val="32"/>
        </w:rPr>
        <w:t>1</w:t>
      </w:r>
      <w:r>
        <w:rPr>
          <w:rFonts w:eastAsia="仿宋_GB2312"/>
          <w:sz w:val="32"/>
          <w:szCs w:val="32"/>
        </w:rPr>
        <w:t xml:space="preserve">. </w:t>
      </w:r>
      <w:r w:rsidR="00A07CCB" w:rsidRPr="00D05C91">
        <w:rPr>
          <w:rFonts w:eastAsia="仿宋_GB2312"/>
          <w:sz w:val="32"/>
          <w:szCs w:val="32"/>
        </w:rPr>
        <w:t>所有评阅人认为论文已达到学位论文水平（评阅给分在</w:t>
      </w:r>
      <w:r w:rsidR="00A07CCB" w:rsidRPr="00D05C91">
        <w:rPr>
          <w:rFonts w:eastAsia="仿宋_GB2312"/>
          <w:sz w:val="32"/>
          <w:szCs w:val="32"/>
        </w:rPr>
        <w:t>70</w:t>
      </w:r>
      <w:r w:rsidR="00A07CCB" w:rsidRPr="00D05C91">
        <w:rPr>
          <w:rFonts w:eastAsia="仿宋_GB2312"/>
          <w:sz w:val="32"/>
          <w:szCs w:val="32"/>
        </w:rPr>
        <w:t>分及以上）的，申请人可以进入论文答辩环节。</w:t>
      </w:r>
    </w:p>
    <w:p w:rsidR="00A07CCB" w:rsidRPr="00D05C91" w:rsidRDefault="008733D0" w:rsidP="008F0733">
      <w:pPr>
        <w:pStyle w:val="2"/>
        <w:widowControl w:val="0"/>
        <w:spacing w:line="560" w:lineRule="exact"/>
        <w:ind w:firstLine="656"/>
        <w:rPr>
          <w:rFonts w:eastAsia="仿宋_GB2312"/>
          <w:sz w:val="32"/>
          <w:szCs w:val="32"/>
        </w:rPr>
      </w:pPr>
      <w:r>
        <w:rPr>
          <w:rFonts w:eastAsia="仿宋_GB2312" w:hint="eastAsia"/>
          <w:sz w:val="32"/>
          <w:szCs w:val="32"/>
        </w:rPr>
        <w:t>2</w:t>
      </w:r>
      <w:r>
        <w:rPr>
          <w:rFonts w:eastAsia="仿宋_GB2312"/>
          <w:sz w:val="32"/>
          <w:szCs w:val="32"/>
        </w:rPr>
        <w:t xml:space="preserve">. </w:t>
      </w:r>
      <w:r w:rsidR="00A07CCB" w:rsidRPr="00D05C91">
        <w:rPr>
          <w:rFonts w:eastAsia="仿宋_GB2312"/>
          <w:sz w:val="32"/>
          <w:szCs w:val="32"/>
        </w:rPr>
        <w:t>所有评阅人中如有两名或两名以上评阅人认为论文未达到学位论文水平（评阅给分在</w:t>
      </w:r>
      <w:r w:rsidR="00A07CCB" w:rsidRPr="00D05C91">
        <w:rPr>
          <w:rFonts w:eastAsia="仿宋_GB2312"/>
          <w:sz w:val="32"/>
          <w:szCs w:val="32"/>
        </w:rPr>
        <w:t>70</w:t>
      </w:r>
      <w:r w:rsidR="00A07CCB" w:rsidRPr="00D05C91">
        <w:rPr>
          <w:rFonts w:eastAsia="仿宋_GB2312"/>
          <w:sz w:val="32"/>
          <w:szCs w:val="32"/>
        </w:rPr>
        <w:t>分以下）的，申请人不可进入论文答辩环节。</w:t>
      </w:r>
    </w:p>
    <w:p w:rsidR="00A07CCB" w:rsidRPr="00D05C91" w:rsidRDefault="008733D0" w:rsidP="008F0733">
      <w:pPr>
        <w:pStyle w:val="2"/>
        <w:widowControl w:val="0"/>
        <w:spacing w:line="560" w:lineRule="exact"/>
        <w:ind w:firstLine="656"/>
        <w:rPr>
          <w:rFonts w:eastAsia="仿宋_GB2312"/>
          <w:sz w:val="32"/>
          <w:szCs w:val="32"/>
        </w:rPr>
      </w:pPr>
      <w:r>
        <w:rPr>
          <w:rFonts w:eastAsia="仿宋_GB2312" w:hint="eastAsia"/>
          <w:sz w:val="32"/>
          <w:szCs w:val="32"/>
        </w:rPr>
        <w:t>3</w:t>
      </w:r>
      <w:r>
        <w:rPr>
          <w:rFonts w:eastAsia="仿宋_GB2312"/>
          <w:sz w:val="32"/>
          <w:szCs w:val="32"/>
        </w:rPr>
        <w:t xml:space="preserve">. </w:t>
      </w:r>
      <w:r w:rsidR="00A07CCB" w:rsidRPr="00D05C91">
        <w:rPr>
          <w:rFonts w:eastAsia="仿宋_GB2312"/>
          <w:sz w:val="32"/>
          <w:szCs w:val="32"/>
        </w:rPr>
        <w:t>所有评阅人中如有一名评阅人认为论文未达到学位论文水平（评阅给分在</w:t>
      </w:r>
      <w:r w:rsidR="00A07CCB" w:rsidRPr="00D05C91">
        <w:rPr>
          <w:rFonts w:eastAsia="仿宋_GB2312"/>
          <w:sz w:val="32"/>
          <w:szCs w:val="32"/>
        </w:rPr>
        <w:t>70</w:t>
      </w:r>
      <w:r w:rsidR="00A07CCB" w:rsidRPr="00D05C91">
        <w:rPr>
          <w:rFonts w:eastAsia="仿宋_GB2312"/>
          <w:sz w:val="32"/>
          <w:szCs w:val="32"/>
        </w:rPr>
        <w:t>分以下）的，应增聘两名评阅人</w:t>
      </w:r>
      <w:r w:rsidR="00A07CCB" w:rsidRPr="00D05C91">
        <w:rPr>
          <w:rFonts w:eastAsia="仿宋_GB2312"/>
          <w:sz w:val="32"/>
          <w:szCs w:val="32"/>
        </w:rPr>
        <w:lastRenderedPageBreak/>
        <w:t>进行评阅。增聘的两名评阅人如均认为论文达到学位论文水平（评阅给分在</w:t>
      </w:r>
      <w:r w:rsidR="00A07CCB" w:rsidRPr="00D05C91">
        <w:rPr>
          <w:rFonts w:eastAsia="仿宋_GB2312"/>
          <w:sz w:val="32"/>
          <w:szCs w:val="32"/>
        </w:rPr>
        <w:t>70</w:t>
      </w:r>
      <w:r w:rsidR="00A07CCB" w:rsidRPr="00D05C91">
        <w:rPr>
          <w:rFonts w:eastAsia="仿宋_GB2312"/>
          <w:sz w:val="32"/>
          <w:szCs w:val="32"/>
        </w:rPr>
        <w:t>分及以上）的，申请人可以进入论文答辩环节。增聘的两名评阅人中如有一名评阅人认为论文未达到学位论文水平（评阅给分在</w:t>
      </w:r>
      <w:r w:rsidR="00A07CCB" w:rsidRPr="00D05C91">
        <w:rPr>
          <w:rFonts w:eastAsia="仿宋_GB2312"/>
          <w:sz w:val="32"/>
          <w:szCs w:val="32"/>
        </w:rPr>
        <w:t>70</w:t>
      </w:r>
      <w:r w:rsidR="00A07CCB" w:rsidRPr="00D05C91">
        <w:rPr>
          <w:rFonts w:eastAsia="仿宋_GB2312"/>
          <w:sz w:val="32"/>
          <w:szCs w:val="32"/>
        </w:rPr>
        <w:t>分以下）的，申请人不可进入论文答辩环节。</w:t>
      </w:r>
    </w:p>
    <w:p w:rsidR="00A07CCB" w:rsidRPr="00D05C91" w:rsidRDefault="00A07CCB" w:rsidP="008F0733">
      <w:pPr>
        <w:pStyle w:val="2"/>
        <w:widowControl w:val="0"/>
        <w:spacing w:line="560" w:lineRule="exact"/>
        <w:ind w:firstLine="656"/>
        <w:rPr>
          <w:rFonts w:eastAsia="仿宋_GB2312"/>
          <w:sz w:val="32"/>
          <w:szCs w:val="32"/>
        </w:rPr>
      </w:pPr>
      <w:r w:rsidRPr="00D05C91">
        <w:rPr>
          <w:rFonts w:eastAsia="仿宋_GB2312"/>
          <w:sz w:val="32"/>
          <w:szCs w:val="32"/>
        </w:rPr>
        <w:t>首次论文送审（含增聘送审）后未进入答辩环节的申请人需重新修改论文，至少一个月后（自收齐评阅意见起计算）才能重新进行论文送审。第二次论文送审（含增聘送审）后仍未能进入答辩环节的，需重新修改或撰写论文，至少三个月后（自收齐第二次评阅意见起计算）才能重新进行论文送审。第三次论文送审（含增聘送审）后仍未能进入答辩环节的，由各学位评定分委员会讨论决定相关送审要求。</w:t>
      </w:r>
    </w:p>
    <w:p w:rsidR="00A07CCB" w:rsidRPr="00D05C91" w:rsidRDefault="00A07CCB" w:rsidP="008F0733">
      <w:pPr>
        <w:pStyle w:val="2"/>
        <w:widowControl w:val="0"/>
        <w:spacing w:line="560" w:lineRule="exact"/>
        <w:ind w:firstLine="656"/>
        <w:rPr>
          <w:rFonts w:eastAsia="仿宋_GB2312"/>
          <w:sz w:val="32"/>
          <w:szCs w:val="32"/>
        </w:rPr>
      </w:pPr>
      <w:r w:rsidRPr="00D05C91">
        <w:rPr>
          <w:rFonts w:eastAsia="仿宋_GB2312"/>
          <w:sz w:val="32"/>
          <w:szCs w:val="32"/>
        </w:rPr>
        <w:t>各学位评定分委员会可据此结合学科专业特点制定详细的论文评阅办法，报研究生院备案。</w:t>
      </w:r>
    </w:p>
    <w:p w:rsidR="00D05C91" w:rsidRPr="00D05C91" w:rsidRDefault="00D05C91" w:rsidP="008F0733">
      <w:pPr>
        <w:pStyle w:val="2"/>
        <w:widowControl w:val="0"/>
        <w:spacing w:line="560" w:lineRule="exact"/>
        <w:ind w:firstLine="656"/>
        <w:rPr>
          <w:rFonts w:eastAsia="仿宋_GB2312"/>
          <w:sz w:val="32"/>
          <w:szCs w:val="32"/>
        </w:rPr>
      </w:pPr>
      <w:r w:rsidRPr="00D05C91">
        <w:rPr>
          <w:rFonts w:eastAsia="仿宋_GB2312"/>
          <w:sz w:val="32"/>
          <w:szCs w:val="32"/>
        </w:rPr>
        <w:t>以上</w:t>
      </w:r>
      <w:r w:rsidR="003D4620">
        <w:rPr>
          <w:rFonts w:eastAsia="仿宋_GB2312" w:hint="eastAsia"/>
          <w:sz w:val="32"/>
          <w:szCs w:val="32"/>
        </w:rPr>
        <w:t>博士、硕士学位论文评阅工作</w:t>
      </w:r>
      <w:r w:rsidR="003D4620" w:rsidRPr="00D05C91">
        <w:rPr>
          <w:rFonts w:eastAsia="仿宋_GB2312"/>
          <w:sz w:val="32"/>
          <w:szCs w:val="32"/>
        </w:rPr>
        <w:t>要求</w:t>
      </w:r>
      <w:r w:rsidR="003D4620">
        <w:rPr>
          <w:rFonts w:eastAsia="仿宋_GB2312" w:hint="eastAsia"/>
          <w:sz w:val="32"/>
          <w:szCs w:val="32"/>
        </w:rPr>
        <w:t>即日</w:t>
      </w:r>
      <w:r w:rsidRPr="00D05C91">
        <w:rPr>
          <w:rFonts w:eastAsia="仿宋_GB2312"/>
          <w:sz w:val="32"/>
          <w:szCs w:val="32"/>
        </w:rPr>
        <w:t>起执行。</w:t>
      </w:r>
      <w:r w:rsidRPr="00D05C91">
        <w:rPr>
          <w:rFonts w:eastAsia="仿宋_GB2312"/>
          <w:sz w:val="32"/>
          <w:szCs w:val="32"/>
        </w:rPr>
        <w:t>20</w:t>
      </w:r>
      <w:r w:rsidR="00BC656E">
        <w:rPr>
          <w:rFonts w:eastAsia="仿宋_GB2312"/>
          <w:sz w:val="32"/>
          <w:szCs w:val="32"/>
        </w:rPr>
        <w:t>20</w:t>
      </w:r>
      <w:r w:rsidRPr="00D05C91">
        <w:rPr>
          <w:rFonts w:eastAsia="仿宋_GB2312"/>
          <w:sz w:val="32"/>
          <w:szCs w:val="32"/>
        </w:rPr>
        <w:t>年</w:t>
      </w:r>
      <w:r w:rsidRPr="00D05C91">
        <w:rPr>
          <w:rFonts w:eastAsia="仿宋_GB2312"/>
          <w:sz w:val="32"/>
          <w:szCs w:val="32"/>
        </w:rPr>
        <w:t>1</w:t>
      </w:r>
      <w:r w:rsidRPr="00D05C91">
        <w:rPr>
          <w:rFonts w:eastAsia="仿宋_GB2312"/>
          <w:sz w:val="32"/>
          <w:szCs w:val="32"/>
        </w:rPr>
        <w:t>月</w:t>
      </w:r>
      <w:r w:rsidR="004807DC">
        <w:rPr>
          <w:rFonts w:eastAsia="仿宋_GB2312"/>
          <w:sz w:val="32"/>
          <w:szCs w:val="32"/>
        </w:rPr>
        <w:t>7</w:t>
      </w:r>
      <w:r w:rsidRPr="00D05C91">
        <w:rPr>
          <w:rFonts w:eastAsia="仿宋_GB2312"/>
          <w:sz w:val="32"/>
          <w:szCs w:val="32"/>
        </w:rPr>
        <w:t>日及以前送审的学位论文评阅</w:t>
      </w:r>
      <w:r w:rsidR="00BC656E">
        <w:rPr>
          <w:rFonts w:eastAsia="仿宋_GB2312" w:hint="eastAsia"/>
          <w:sz w:val="32"/>
          <w:szCs w:val="32"/>
        </w:rPr>
        <w:t>要求</w:t>
      </w:r>
      <w:r w:rsidRPr="00D05C91">
        <w:rPr>
          <w:rFonts w:eastAsia="仿宋_GB2312"/>
          <w:sz w:val="32"/>
          <w:szCs w:val="32"/>
        </w:rPr>
        <w:t>仍按照《厦门大学博士学位和硕士学位授予工作细则》（厦大</w:t>
      </w:r>
      <w:r w:rsidR="008F0733">
        <w:rPr>
          <w:rFonts w:eastAsia="仿宋_GB2312" w:hint="eastAsia"/>
          <w:sz w:val="32"/>
          <w:szCs w:val="32"/>
        </w:rPr>
        <w:t>研</w:t>
      </w:r>
      <w:r w:rsidRPr="00D05C91">
        <w:rPr>
          <w:rFonts w:eastAsia="仿宋_GB2312"/>
          <w:sz w:val="32"/>
          <w:szCs w:val="32"/>
        </w:rPr>
        <w:t>〔</w:t>
      </w:r>
      <w:r w:rsidRPr="00D05C91">
        <w:rPr>
          <w:rFonts w:eastAsia="仿宋_GB2312"/>
          <w:sz w:val="32"/>
          <w:szCs w:val="32"/>
        </w:rPr>
        <w:t>2014</w:t>
      </w:r>
      <w:r w:rsidRPr="00D05C91">
        <w:rPr>
          <w:rFonts w:eastAsia="仿宋_GB2312"/>
          <w:sz w:val="32"/>
          <w:szCs w:val="32"/>
        </w:rPr>
        <w:t>〕</w:t>
      </w:r>
      <w:r w:rsidRPr="00D05C91">
        <w:rPr>
          <w:rFonts w:eastAsia="仿宋_GB2312"/>
          <w:sz w:val="32"/>
          <w:szCs w:val="32"/>
        </w:rPr>
        <w:t>29</w:t>
      </w:r>
      <w:r w:rsidRPr="00D05C91">
        <w:rPr>
          <w:rFonts w:eastAsia="仿宋_GB2312"/>
          <w:sz w:val="32"/>
          <w:szCs w:val="32"/>
        </w:rPr>
        <w:t>号）文件执行。</w:t>
      </w:r>
    </w:p>
    <w:p w:rsidR="00D05C91" w:rsidRDefault="00D05C91" w:rsidP="008F0733">
      <w:pPr>
        <w:pStyle w:val="2"/>
        <w:widowControl w:val="0"/>
        <w:spacing w:line="560" w:lineRule="exact"/>
        <w:ind w:firstLine="656"/>
        <w:rPr>
          <w:rFonts w:eastAsia="仿宋_GB2312"/>
          <w:sz w:val="32"/>
          <w:szCs w:val="32"/>
        </w:rPr>
      </w:pPr>
      <w:r w:rsidRPr="00D05C91">
        <w:rPr>
          <w:rFonts w:eastAsia="仿宋_GB2312"/>
          <w:sz w:val="32"/>
          <w:szCs w:val="32"/>
        </w:rPr>
        <w:t>特此通知。</w:t>
      </w:r>
    </w:p>
    <w:p w:rsidR="008F0733" w:rsidRPr="00D05C91" w:rsidRDefault="008F0733" w:rsidP="008F0733">
      <w:pPr>
        <w:pStyle w:val="2"/>
        <w:widowControl w:val="0"/>
        <w:spacing w:line="560" w:lineRule="exact"/>
        <w:ind w:firstLine="656"/>
        <w:rPr>
          <w:rFonts w:eastAsia="仿宋_GB2312"/>
          <w:sz w:val="32"/>
          <w:szCs w:val="32"/>
        </w:rPr>
      </w:pPr>
      <w:bookmarkStart w:id="0" w:name="_GoBack"/>
      <w:bookmarkEnd w:id="0"/>
    </w:p>
    <w:p w:rsidR="00D05C91" w:rsidRPr="00D05C91" w:rsidRDefault="00D05C91" w:rsidP="008F0733">
      <w:pPr>
        <w:pStyle w:val="2"/>
        <w:widowControl w:val="0"/>
        <w:spacing w:line="560" w:lineRule="exact"/>
        <w:ind w:firstLine="656"/>
        <w:rPr>
          <w:rFonts w:eastAsia="仿宋_GB2312"/>
          <w:sz w:val="32"/>
          <w:szCs w:val="32"/>
        </w:rPr>
      </w:pPr>
      <w:r w:rsidRPr="00D05C91">
        <w:rPr>
          <w:rFonts w:eastAsia="仿宋_GB2312"/>
          <w:sz w:val="32"/>
          <w:szCs w:val="32"/>
        </w:rPr>
        <w:t>联系人：熊老师</w:t>
      </w:r>
      <w:r w:rsidRPr="00D05C91">
        <w:rPr>
          <w:rFonts w:eastAsia="仿宋_GB2312"/>
          <w:sz w:val="32"/>
          <w:szCs w:val="32"/>
        </w:rPr>
        <w:t xml:space="preserve">    </w:t>
      </w:r>
      <w:r w:rsidRPr="00D05C91">
        <w:rPr>
          <w:rFonts w:eastAsia="仿宋_GB2312"/>
          <w:sz w:val="32"/>
          <w:szCs w:val="32"/>
        </w:rPr>
        <w:t>联系电话：</w:t>
      </w:r>
      <w:r w:rsidRPr="00D05C91">
        <w:rPr>
          <w:rFonts w:eastAsia="仿宋_GB2312"/>
          <w:sz w:val="32"/>
          <w:szCs w:val="32"/>
        </w:rPr>
        <w:t>2181667</w:t>
      </w:r>
    </w:p>
    <w:p w:rsidR="00D05C91" w:rsidRPr="00D05C91" w:rsidRDefault="00D05C91" w:rsidP="008F0733">
      <w:pPr>
        <w:pStyle w:val="2"/>
        <w:widowControl w:val="0"/>
        <w:spacing w:line="560" w:lineRule="exact"/>
        <w:ind w:firstLine="656"/>
        <w:rPr>
          <w:rFonts w:eastAsia="仿宋_GB2312"/>
          <w:sz w:val="32"/>
          <w:szCs w:val="32"/>
        </w:rPr>
      </w:pPr>
    </w:p>
    <w:p w:rsidR="00D05C91" w:rsidRPr="00D05C91" w:rsidRDefault="00D05C91" w:rsidP="008F0733">
      <w:pPr>
        <w:pStyle w:val="2"/>
        <w:widowControl w:val="0"/>
        <w:spacing w:line="560" w:lineRule="exact"/>
        <w:ind w:right="656" w:firstLine="656"/>
        <w:jc w:val="right"/>
        <w:rPr>
          <w:rFonts w:eastAsia="仿宋_GB2312"/>
          <w:sz w:val="32"/>
          <w:szCs w:val="32"/>
        </w:rPr>
      </w:pPr>
      <w:r w:rsidRPr="00D05C91">
        <w:rPr>
          <w:rFonts w:eastAsia="仿宋_GB2312"/>
          <w:sz w:val="32"/>
          <w:szCs w:val="32"/>
        </w:rPr>
        <w:t>研究生院</w:t>
      </w:r>
    </w:p>
    <w:p w:rsidR="00A07CCB" w:rsidRPr="0022400D" w:rsidRDefault="00D05C91" w:rsidP="008F0733">
      <w:pPr>
        <w:pStyle w:val="2"/>
        <w:widowControl w:val="0"/>
        <w:spacing w:line="560" w:lineRule="exact"/>
        <w:ind w:firstLine="656"/>
        <w:jc w:val="right"/>
        <w:rPr>
          <w:rFonts w:eastAsia="仿宋_GB2312"/>
          <w:sz w:val="32"/>
          <w:szCs w:val="32"/>
        </w:rPr>
      </w:pPr>
      <w:r w:rsidRPr="00D05C91">
        <w:rPr>
          <w:rFonts w:eastAsia="仿宋_GB2312"/>
          <w:sz w:val="32"/>
          <w:szCs w:val="32"/>
        </w:rPr>
        <w:t>2020</w:t>
      </w:r>
      <w:r w:rsidRPr="00D05C91">
        <w:rPr>
          <w:rFonts w:eastAsia="仿宋_GB2312"/>
          <w:sz w:val="32"/>
          <w:szCs w:val="32"/>
        </w:rPr>
        <w:t>年</w:t>
      </w:r>
      <w:r w:rsidRPr="00D05C91">
        <w:rPr>
          <w:rFonts w:eastAsia="仿宋_GB2312"/>
          <w:sz w:val="32"/>
          <w:szCs w:val="32"/>
        </w:rPr>
        <w:t>1</w:t>
      </w:r>
      <w:r w:rsidRPr="00D05C91">
        <w:rPr>
          <w:rFonts w:eastAsia="仿宋_GB2312"/>
          <w:sz w:val="32"/>
          <w:szCs w:val="32"/>
        </w:rPr>
        <w:t>月</w:t>
      </w:r>
      <w:r w:rsidR="004807DC">
        <w:rPr>
          <w:rFonts w:eastAsia="仿宋_GB2312"/>
          <w:sz w:val="32"/>
          <w:szCs w:val="32"/>
        </w:rPr>
        <w:t>8</w:t>
      </w:r>
      <w:r w:rsidRPr="00D05C91">
        <w:rPr>
          <w:rFonts w:eastAsia="仿宋_GB2312"/>
          <w:sz w:val="32"/>
          <w:szCs w:val="32"/>
        </w:rPr>
        <w:t>日</w:t>
      </w:r>
    </w:p>
    <w:sectPr w:rsidR="00A07CCB" w:rsidRPr="002240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BE7" w:rsidRDefault="00472BE7" w:rsidP="0022237E">
      <w:r>
        <w:separator/>
      </w:r>
    </w:p>
  </w:endnote>
  <w:endnote w:type="continuationSeparator" w:id="0">
    <w:p w:rsidR="00472BE7" w:rsidRDefault="00472BE7" w:rsidP="0022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BE7" w:rsidRDefault="00472BE7" w:rsidP="0022237E">
      <w:r>
        <w:separator/>
      </w:r>
    </w:p>
  </w:footnote>
  <w:footnote w:type="continuationSeparator" w:id="0">
    <w:p w:rsidR="00472BE7" w:rsidRDefault="00472BE7" w:rsidP="002223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CCB"/>
    <w:rsid w:val="001243CB"/>
    <w:rsid w:val="00155B73"/>
    <w:rsid w:val="001D475F"/>
    <w:rsid w:val="0022237E"/>
    <w:rsid w:val="0022400D"/>
    <w:rsid w:val="002A6E80"/>
    <w:rsid w:val="003B0DD8"/>
    <w:rsid w:val="003D4620"/>
    <w:rsid w:val="00472BE7"/>
    <w:rsid w:val="004807DC"/>
    <w:rsid w:val="008733D0"/>
    <w:rsid w:val="0089708F"/>
    <w:rsid w:val="008F0733"/>
    <w:rsid w:val="00A07CCB"/>
    <w:rsid w:val="00BC656E"/>
    <w:rsid w:val="00D05C91"/>
    <w:rsid w:val="00D0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3F8B3"/>
  <w15:chartTrackingRefBased/>
  <w15:docId w15:val="{F30DBE8D-407E-4B47-BC0F-3640E993E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我正文2"/>
    <w:basedOn w:val="a"/>
    <w:link w:val="2Char"/>
    <w:rsid w:val="00A07CCB"/>
    <w:pPr>
      <w:widowControl/>
      <w:spacing w:line="340" w:lineRule="exact"/>
      <w:ind w:firstLineChars="200" w:firstLine="200"/>
    </w:pPr>
    <w:rPr>
      <w:rFonts w:ascii="Times New Roman" w:eastAsia="宋体" w:hAnsi="Times New Roman" w:cs="Times New Roman"/>
      <w:spacing w:val="4"/>
      <w:kern w:val="0"/>
      <w:szCs w:val="21"/>
    </w:rPr>
  </w:style>
  <w:style w:type="character" w:customStyle="1" w:styleId="2Char">
    <w:name w:val="我正文2 Char"/>
    <w:link w:val="2"/>
    <w:rsid w:val="00A07CCB"/>
    <w:rPr>
      <w:rFonts w:ascii="Times New Roman" w:eastAsia="宋体" w:hAnsi="Times New Roman" w:cs="Times New Roman"/>
      <w:spacing w:val="4"/>
      <w:kern w:val="0"/>
      <w:szCs w:val="21"/>
    </w:rPr>
  </w:style>
  <w:style w:type="paragraph" w:styleId="a3">
    <w:name w:val="Balloon Text"/>
    <w:basedOn w:val="a"/>
    <w:link w:val="a4"/>
    <w:uiPriority w:val="99"/>
    <w:semiHidden/>
    <w:unhideWhenUsed/>
    <w:rsid w:val="00BC656E"/>
    <w:rPr>
      <w:sz w:val="18"/>
      <w:szCs w:val="18"/>
    </w:rPr>
  </w:style>
  <w:style w:type="character" w:customStyle="1" w:styleId="a4">
    <w:name w:val="批注框文本 字符"/>
    <w:basedOn w:val="a0"/>
    <w:link w:val="a3"/>
    <w:uiPriority w:val="99"/>
    <w:semiHidden/>
    <w:rsid w:val="00BC656E"/>
    <w:rPr>
      <w:sz w:val="18"/>
      <w:szCs w:val="18"/>
    </w:rPr>
  </w:style>
  <w:style w:type="paragraph" w:styleId="a5">
    <w:name w:val="header"/>
    <w:basedOn w:val="a"/>
    <w:link w:val="a6"/>
    <w:uiPriority w:val="99"/>
    <w:unhideWhenUsed/>
    <w:rsid w:val="0022237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2237E"/>
    <w:rPr>
      <w:sz w:val="18"/>
      <w:szCs w:val="18"/>
    </w:rPr>
  </w:style>
  <w:style w:type="paragraph" w:styleId="a7">
    <w:name w:val="footer"/>
    <w:basedOn w:val="a"/>
    <w:link w:val="a8"/>
    <w:uiPriority w:val="99"/>
    <w:unhideWhenUsed/>
    <w:rsid w:val="0022237E"/>
    <w:pPr>
      <w:tabs>
        <w:tab w:val="center" w:pos="4153"/>
        <w:tab w:val="right" w:pos="8306"/>
      </w:tabs>
      <w:snapToGrid w:val="0"/>
      <w:jc w:val="left"/>
    </w:pPr>
    <w:rPr>
      <w:sz w:val="18"/>
      <w:szCs w:val="18"/>
    </w:rPr>
  </w:style>
  <w:style w:type="character" w:customStyle="1" w:styleId="a8">
    <w:name w:val="页脚 字符"/>
    <w:basedOn w:val="a0"/>
    <w:link w:val="a7"/>
    <w:uiPriority w:val="99"/>
    <w:rsid w:val="0022237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熊雨婷</dc:creator>
  <cp:keywords/>
  <dc:description/>
  <cp:lastModifiedBy>熊雨婷</cp:lastModifiedBy>
  <cp:revision>8</cp:revision>
  <cp:lastPrinted>2020-01-07T08:37:00Z</cp:lastPrinted>
  <dcterms:created xsi:type="dcterms:W3CDTF">2020-01-07T07:00:00Z</dcterms:created>
  <dcterms:modified xsi:type="dcterms:W3CDTF">2020-01-08T00:00:00Z</dcterms:modified>
</cp:coreProperties>
</file>