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1E" w:rsidRDefault="007A611E" w:rsidP="007A611E">
      <w:pPr>
        <w:spacing w:line="520" w:lineRule="exact"/>
        <w:jc w:val="center"/>
        <w:rPr>
          <w:rFonts w:ascii="宋体" w:eastAsia="宋体" w:hAnsi="宋体" w:cs="宋体" w:hint="eastAsia"/>
          <w:b/>
          <w:bCs/>
          <w:sz w:val="44"/>
          <w:szCs w:val="44"/>
        </w:rPr>
      </w:pPr>
      <w:r>
        <w:rPr>
          <w:rFonts w:ascii="宋体" w:eastAsia="宋体" w:hAnsi="宋体" w:cs="宋体" w:hint="eastAsia"/>
          <w:b/>
          <w:bCs/>
          <w:sz w:val="44"/>
          <w:szCs w:val="44"/>
        </w:rPr>
        <w:t>落实《通知》过程中有关问题应把握的口径</w:t>
      </w:r>
    </w:p>
    <w:p w:rsidR="007A611E" w:rsidRDefault="007A611E" w:rsidP="007A611E">
      <w:pPr>
        <w:spacing w:line="520" w:lineRule="exact"/>
        <w:rPr>
          <w:rFonts w:ascii="宋体" w:hAnsi="宋体" w:cs="宋体"/>
          <w:b/>
          <w:bCs/>
          <w:sz w:val="44"/>
          <w:szCs w:val="44"/>
        </w:rPr>
      </w:pPr>
    </w:p>
    <w:p w:rsidR="007A611E" w:rsidRDefault="007A611E" w:rsidP="007A611E">
      <w:pPr>
        <w:spacing w:line="520" w:lineRule="exact"/>
        <w:ind w:firstLineChars="200" w:firstLine="640"/>
        <w:rPr>
          <w:rFonts w:ascii="黑体" w:eastAsia="黑体" w:hAnsi="黑体" w:cs="宋体"/>
          <w:b/>
          <w:bCs/>
          <w:szCs w:val="32"/>
        </w:rPr>
      </w:pPr>
      <w:r>
        <w:rPr>
          <w:rFonts w:ascii="黑体" w:eastAsia="黑体" w:hAnsi="黑体" w:cs="宋体" w:hint="eastAsia"/>
          <w:szCs w:val="32"/>
        </w:rPr>
        <w:t>一、纳税记录相关问题</w:t>
      </w:r>
    </w:p>
    <w:p w:rsidR="007A611E" w:rsidRDefault="007A611E" w:rsidP="007A611E">
      <w:pPr>
        <w:spacing w:line="520" w:lineRule="exact"/>
        <w:ind w:firstLineChars="200" w:firstLine="640"/>
        <w:rPr>
          <w:rFonts w:ascii="仿宋_GB2312" w:hAnsi="仿宋" w:cs="仿宋" w:hint="eastAsia"/>
          <w:szCs w:val="32"/>
        </w:rPr>
      </w:pPr>
      <w:r>
        <w:rPr>
          <w:rFonts w:ascii="仿宋_GB2312" w:hAnsi="仿宋" w:cs="仿宋" w:hint="eastAsia"/>
          <w:szCs w:val="32"/>
        </w:rPr>
        <w:t>现有人才提供近三年纳税记录；引进人才提供签订合同至申报时的纳税记录；享受免税政策的人才（</w:t>
      </w:r>
      <w:proofErr w:type="gramStart"/>
      <w:r>
        <w:rPr>
          <w:rFonts w:ascii="仿宋_GB2312" w:hAnsi="仿宋" w:cs="仿宋" w:hint="eastAsia"/>
          <w:szCs w:val="32"/>
        </w:rPr>
        <w:t>含现有</w:t>
      </w:r>
      <w:proofErr w:type="gramEnd"/>
      <w:r>
        <w:rPr>
          <w:rFonts w:ascii="仿宋_GB2312" w:hAnsi="仿宋" w:cs="仿宋" w:hint="eastAsia"/>
          <w:szCs w:val="32"/>
        </w:rPr>
        <w:t>及引进人才），由用人单位提供相关证明。</w:t>
      </w:r>
    </w:p>
    <w:p w:rsidR="007A611E" w:rsidRDefault="007A611E" w:rsidP="007A611E">
      <w:pPr>
        <w:spacing w:line="520" w:lineRule="exact"/>
        <w:ind w:firstLineChars="200" w:firstLine="640"/>
        <w:rPr>
          <w:rFonts w:ascii="黑体" w:eastAsia="黑体" w:hAnsi="黑体" w:cs="宋体"/>
          <w:b/>
          <w:bCs/>
          <w:szCs w:val="32"/>
        </w:rPr>
      </w:pPr>
      <w:r>
        <w:rPr>
          <w:rFonts w:ascii="黑体" w:eastAsia="黑体" w:hAnsi="黑体" w:cs="宋体" w:hint="eastAsia"/>
          <w:szCs w:val="32"/>
        </w:rPr>
        <w:t>二、综合所得相关问题</w:t>
      </w:r>
    </w:p>
    <w:p w:rsidR="007A611E" w:rsidRDefault="007A611E" w:rsidP="007A611E">
      <w:pPr>
        <w:spacing w:line="520" w:lineRule="exact"/>
        <w:ind w:firstLineChars="200" w:firstLine="643"/>
        <w:rPr>
          <w:rFonts w:ascii="仿宋_GB2312" w:hAnsi="仿宋" w:cs="仿宋"/>
          <w:b/>
          <w:szCs w:val="32"/>
        </w:rPr>
      </w:pPr>
      <w:r>
        <w:rPr>
          <w:rFonts w:ascii="仿宋_GB2312" w:hAnsi="仿宋" w:cs="仿宋" w:hint="eastAsia"/>
          <w:b/>
          <w:szCs w:val="32"/>
        </w:rPr>
        <w:t>1、计算口径</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（1）2019年税改后，“个人综合所得</w:t>
      </w:r>
      <w:r>
        <w:rPr>
          <w:rFonts w:ascii="仿宋_GB2312" w:hAnsi="仿宋" w:cs="仿宋"/>
          <w:szCs w:val="32"/>
        </w:rPr>
        <w:t>年度收入</w:t>
      </w:r>
      <w:r>
        <w:rPr>
          <w:rFonts w:ascii="仿宋_GB2312" w:hAnsi="仿宋" w:cs="仿宋" w:hint="eastAsia"/>
          <w:szCs w:val="32"/>
        </w:rPr>
        <w:t>”可列入计算的项目包括工薪所得、劳务报酬所得、稿酬所得、特许权使用费所得等四项，须从“个人所得税”APP中查询“个人综合所得”具体数据并取证（采集办法附后）。</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（2）2018年及以前年度的“个人综合所得</w:t>
      </w:r>
      <w:r>
        <w:rPr>
          <w:rFonts w:ascii="仿宋_GB2312" w:hAnsi="仿宋" w:cs="仿宋"/>
          <w:szCs w:val="32"/>
        </w:rPr>
        <w:t>年度收入</w:t>
      </w:r>
      <w:r>
        <w:rPr>
          <w:rFonts w:ascii="仿宋_GB2312" w:hAnsi="仿宋" w:cs="仿宋" w:hint="eastAsia"/>
          <w:szCs w:val="32"/>
        </w:rPr>
        <w:t>”可列入计算的项目包括用人单位支付的基本工资、住房补贴、考核奖励、</w:t>
      </w:r>
      <w:proofErr w:type="gramStart"/>
      <w:r>
        <w:rPr>
          <w:rFonts w:ascii="仿宋_GB2312" w:hAnsi="仿宋" w:cs="仿宋" w:hint="eastAsia"/>
          <w:szCs w:val="32"/>
        </w:rPr>
        <w:t>医</w:t>
      </w:r>
      <w:proofErr w:type="gramEnd"/>
      <w:r>
        <w:rPr>
          <w:rFonts w:ascii="仿宋_GB2312" w:hAnsi="仿宋" w:cs="仿宋" w:hint="eastAsia"/>
          <w:szCs w:val="32"/>
        </w:rPr>
        <w:t>保社保、政府补助等，不含期权、股权和分红激励、科研成果转化等，证明材料可根据合同、银行流水、税单及用人单位审核盖章的具体明细表综合判断。</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（3）境外引进人才的“个人综合所得</w:t>
      </w:r>
      <w:r>
        <w:rPr>
          <w:rFonts w:ascii="仿宋_GB2312" w:hAnsi="仿宋" w:cs="仿宋"/>
          <w:szCs w:val="32"/>
        </w:rPr>
        <w:t>年度收入</w:t>
      </w:r>
      <w:r>
        <w:rPr>
          <w:rFonts w:ascii="仿宋_GB2312" w:hAnsi="仿宋" w:cs="仿宋" w:hint="eastAsia"/>
          <w:szCs w:val="32"/>
        </w:rPr>
        <w:t>”，可根据来闽后的合同、银行流水、税单以及境外工作合同、税单、用人单位证明等综合判断。</w:t>
      </w:r>
    </w:p>
    <w:p w:rsidR="007A611E" w:rsidRDefault="007A611E" w:rsidP="007A611E">
      <w:pPr>
        <w:spacing w:line="520" w:lineRule="exact"/>
        <w:ind w:firstLineChars="200" w:firstLine="643"/>
        <w:rPr>
          <w:rFonts w:ascii="仿宋_GB2312" w:hAnsi="仿宋" w:cs="仿宋"/>
          <w:b/>
          <w:szCs w:val="32"/>
        </w:rPr>
      </w:pPr>
      <w:r>
        <w:rPr>
          <w:rFonts w:ascii="仿宋_GB2312" w:hAnsi="仿宋" w:cs="仿宋" w:hint="eastAsia"/>
          <w:b/>
          <w:szCs w:val="32"/>
        </w:rPr>
        <w:t>2、时间节点</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w:t>
      </w:r>
      <w:r>
        <w:rPr>
          <w:rFonts w:ascii="仿宋_GB2312" w:hAnsi="仿宋" w:cs="仿宋"/>
          <w:szCs w:val="32"/>
        </w:rPr>
        <w:t>近三年个人综合所得年度收入应达到所在设区市上一年度城镇单位在岗职工平均工资一定倍数以上（事业单位2.5倍、企业4倍）</w:t>
      </w:r>
      <w:r>
        <w:rPr>
          <w:rFonts w:ascii="仿宋_GB2312" w:hAnsi="仿宋" w:cs="仿宋" w:hint="eastAsia"/>
          <w:szCs w:val="32"/>
        </w:rPr>
        <w:t>”是指每一年都要达标，不是三年的平均值达标，其中：</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（1）“近三年”是指</w:t>
      </w:r>
      <w:proofErr w:type="gramStart"/>
      <w:r>
        <w:rPr>
          <w:rFonts w:ascii="仿宋_GB2312" w:hAnsi="仿宋" w:cs="仿宋" w:hint="eastAsia"/>
          <w:szCs w:val="32"/>
        </w:rPr>
        <w:t>申报日</w:t>
      </w:r>
      <w:proofErr w:type="gramEnd"/>
      <w:r>
        <w:rPr>
          <w:rFonts w:ascii="仿宋_GB2312" w:hAnsi="仿宋" w:cs="仿宋" w:hint="eastAsia"/>
          <w:szCs w:val="32"/>
        </w:rPr>
        <w:t>之前的近三个自然年度，如</w:t>
      </w:r>
      <w:r>
        <w:rPr>
          <w:rFonts w:ascii="仿宋_GB2312" w:hAnsi="仿宋" w:cs="仿宋" w:hint="eastAsia"/>
          <w:szCs w:val="32"/>
        </w:rPr>
        <w:lastRenderedPageBreak/>
        <w:t>人才2021年申报，则需提交2020、2019及2018的个人综合所得收入证明。</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（2）“上一年度”是指每年的综合收入均要</w:t>
      </w:r>
      <w:proofErr w:type="gramStart"/>
      <w:r>
        <w:rPr>
          <w:rFonts w:ascii="仿宋_GB2312" w:hAnsi="仿宋" w:cs="仿宋" w:hint="eastAsia"/>
          <w:szCs w:val="32"/>
        </w:rPr>
        <w:t>逐年跟</w:t>
      </w:r>
      <w:proofErr w:type="gramEnd"/>
      <w:r>
        <w:rPr>
          <w:rFonts w:ascii="仿宋_GB2312" w:hAnsi="仿宋" w:cs="仿宋" w:hint="eastAsia"/>
          <w:szCs w:val="32"/>
        </w:rPr>
        <w:t>其上一年度社</w:t>
      </w:r>
      <w:proofErr w:type="gramStart"/>
      <w:r>
        <w:rPr>
          <w:rFonts w:ascii="仿宋_GB2312" w:hAnsi="仿宋" w:cs="仿宋" w:hint="eastAsia"/>
          <w:szCs w:val="32"/>
        </w:rPr>
        <w:t>平工资</w:t>
      </w:r>
      <w:proofErr w:type="gramEnd"/>
      <w:r>
        <w:rPr>
          <w:rFonts w:ascii="仿宋_GB2312" w:hAnsi="仿宋" w:cs="仿宋" w:hint="eastAsia"/>
          <w:szCs w:val="32"/>
        </w:rPr>
        <w:t>比较，如提交2020、2019及2018年的个人综合所得收入证明，则“上一年度”社</w:t>
      </w:r>
      <w:proofErr w:type="gramStart"/>
      <w:r>
        <w:rPr>
          <w:rFonts w:ascii="仿宋_GB2312" w:hAnsi="仿宋" w:cs="仿宋" w:hint="eastAsia"/>
          <w:szCs w:val="32"/>
        </w:rPr>
        <w:t>平工资</w:t>
      </w:r>
      <w:proofErr w:type="gramEnd"/>
      <w:r>
        <w:rPr>
          <w:rFonts w:ascii="仿宋_GB2312" w:hAnsi="仿宋" w:cs="仿宋" w:hint="eastAsia"/>
          <w:szCs w:val="32"/>
        </w:rPr>
        <w:t>分别对应为2019、2018及2017年。</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（3）“所在设区市上一年度城镇单位在岗职工平均工资”是指引进人才目前入</w:t>
      </w:r>
      <w:proofErr w:type="gramStart"/>
      <w:r>
        <w:rPr>
          <w:rFonts w:ascii="仿宋_GB2312" w:hAnsi="仿宋" w:cs="仿宋" w:hint="eastAsia"/>
          <w:szCs w:val="32"/>
        </w:rPr>
        <w:t>职单位</w:t>
      </w:r>
      <w:proofErr w:type="gramEnd"/>
      <w:r>
        <w:rPr>
          <w:rFonts w:ascii="仿宋_GB2312" w:hAnsi="仿宋" w:cs="仿宋" w:hint="eastAsia"/>
          <w:szCs w:val="32"/>
        </w:rPr>
        <w:t>所在的设区市的平均工资，不是引进前工作单位所在设区市的平均工资。</w:t>
      </w:r>
    </w:p>
    <w:p w:rsidR="007A611E" w:rsidRDefault="007A611E" w:rsidP="007A611E">
      <w:pPr>
        <w:spacing w:line="520" w:lineRule="exact"/>
        <w:ind w:firstLineChars="200" w:firstLine="640"/>
        <w:rPr>
          <w:rFonts w:ascii="仿宋_GB2312" w:hAnsi="仿宋" w:cs="仿宋"/>
          <w:szCs w:val="32"/>
        </w:rPr>
      </w:pPr>
      <w:r>
        <w:rPr>
          <w:rFonts w:ascii="仿宋_GB2312" w:hAnsi="仿宋" w:cs="仿宋" w:hint="eastAsia"/>
          <w:szCs w:val="32"/>
        </w:rPr>
        <w:t>（4）城镇单位在岗职工平均工资以福建省统计局每年公布的社</w:t>
      </w:r>
      <w:proofErr w:type="gramStart"/>
      <w:r>
        <w:rPr>
          <w:rFonts w:ascii="仿宋_GB2312" w:hAnsi="仿宋" w:cs="仿宋" w:hint="eastAsia"/>
          <w:szCs w:val="32"/>
        </w:rPr>
        <w:t>平工资</w:t>
      </w:r>
      <w:proofErr w:type="gramEnd"/>
      <w:r>
        <w:rPr>
          <w:rFonts w:ascii="仿宋_GB2312" w:hAnsi="仿宋" w:cs="仿宋" w:hint="eastAsia"/>
          <w:szCs w:val="32"/>
        </w:rPr>
        <w:t>为准。</w:t>
      </w:r>
    </w:p>
    <w:p w:rsidR="007A611E" w:rsidRDefault="007A611E" w:rsidP="007A611E">
      <w:pPr>
        <w:spacing w:line="520" w:lineRule="exact"/>
        <w:ind w:firstLineChars="200" w:firstLine="640"/>
        <w:rPr>
          <w:rFonts w:ascii="黑体" w:eastAsia="黑体" w:hAnsi="黑体" w:cs="宋体"/>
          <w:b/>
          <w:bCs/>
          <w:szCs w:val="32"/>
        </w:rPr>
      </w:pPr>
      <w:r>
        <w:rPr>
          <w:rFonts w:ascii="黑体" w:eastAsia="黑体" w:hAnsi="黑体" w:cs="宋体" w:hint="eastAsia"/>
          <w:szCs w:val="32"/>
        </w:rPr>
        <w:t>三、溯及既往问题</w:t>
      </w:r>
    </w:p>
    <w:p w:rsidR="007A611E" w:rsidRDefault="007A611E" w:rsidP="007A611E">
      <w:pPr>
        <w:spacing w:line="520" w:lineRule="exact"/>
        <w:ind w:firstLineChars="200" w:firstLine="640"/>
        <w:rPr>
          <w:rFonts w:ascii="仿宋_GB2312" w:hAnsi="仿宋" w:cs="仿宋" w:hint="eastAsia"/>
          <w:szCs w:val="32"/>
        </w:rPr>
      </w:pPr>
      <w:r>
        <w:rPr>
          <w:rFonts w:ascii="仿宋_GB2312" w:hAnsi="仿宋" w:cs="仿宋" w:hint="eastAsia"/>
          <w:szCs w:val="32"/>
        </w:rPr>
        <w:t>申报条件可溯源到2020年7月1日。《通知》印发前因税收未达标没有申报的人才，“近五年”、“近十年”资格条件或引进人才“近一年来闽”时限要求的计算口径可溯源到2020年7月1日。</w:t>
      </w:r>
    </w:p>
    <w:p w:rsidR="007A611E" w:rsidRPr="005D0D28" w:rsidRDefault="007A611E" w:rsidP="007A611E">
      <w:pPr>
        <w:spacing w:line="520" w:lineRule="exact"/>
        <w:ind w:firstLineChars="200" w:firstLine="640"/>
        <w:rPr>
          <w:rFonts w:ascii="黑体" w:eastAsia="黑体" w:hAnsi="黑体" w:cs="宋体" w:hint="eastAsia"/>
          <w:szCs w:val="32"/>
        </w:rPr>
      </w:pPr>
      <w:r w:rsidRPr="005D0D28">
        <w:rPr>
          <w:rFonts w:ascii="黑体" w:eastAsia="黑体" w:hAnsi="黑体" w:cs="宋体" w:hint="eastAsia"/>
          <w:szCs w:val="32"/>
        </w:rPr>
        <w:t>四、其他说明</w:t>
      </w:r>
    </w:p>
    <w:p w:rsidR="007A611E" w:rsidRDefault="007A611E" w:rsidP="007A611E">
      <w:pPr>
        <w:spacing w:line="520" w:lineRule="exact"/>
        <w:ind w:firstLineChars="200" w:firstLine="640"/>
        <w:rPr>
          <w:rFonts w:ascii="仿宋_GB2312" w:hAnsi="仿宋" w:cs="仿宋" w:hint="eastAsia"/>
          <w:szCs w:val="32"/>
        </w:rPr>
      </w:pPr>
      <w:r w:rsidRPr="007A611E">
        <w:rPr>
          <w:rFonts w:ascii="仿宋_GB2312" w:hAnsi="仿宋" w:cs="仿宋" w:hint="eastAsia"/>
          <w:szCs w:val="32"/>
        </w:rPr>
        <w:t>对于</w:t>
      </w:r>
      <w:r w:rsidRPr="007A611E">
        <w:rPr>
          <w:rFonts w:ascii="仿宋_GB2312" w:hAnsi="仿宋" w:cs="仿宋"/>
          <w:szCs w:val="32"/>
        </w:rPr>
        <w:t>现有人才</w:t>
      </w:r>
      <w:r w:rsidRPr="007A611E">
        <w:rPr>
          <w:rFonts w:ascii="仿宋_GB2312" w:hAnsi="仿宋" w:cs="仿宋" w:hint="eastAsia"/>
          <w:szCs w:val="32"/>
        </w:rPr>
        <w:t>和</w:t>
      </w:r>
      <w:r w:rsidRPr="007A611E">
        <w:rPr>
          <w:rFonts w:ascii="仿宋_GB2312" w:hAnsi="仿宋" w:cs="仿宋"/>
          <w:szCs w:val="32"/>
        </w:rPr>
        <w:t>符合特级、A类及B类1-13款条件的人才</w:t>
      </w:r>
      <w:r w:rsidRPr="007A611E">
        <w:rPr>
          <w:rFonts w:ascii="仿宋_GB2312" w:hAnsi="仿宋" w:cs="仿宋" w:hint="eastAsia"/>
          <w:szCs w:val="32"/>
        </w:rPr>
        <w:t>，</w:t>
      </w:r>
      <w:r>
        <w:rPr>
          <w:rFonts w:ascii="仿宋_GB2312" w:hAnsi="仿宋" w:cs="仿宋" w:hint="eastAsia"/>
          <w:szCs w:val="32"/>
        </w:rPr>
        <w:t>“个人综合所得</w:t>
      </w:r>
      <w:r>
        <w:rPr>
          <w:rFonts w:ascii="仿宋_GB2312" w:hAnsi="仿宋" w:cs="仿宋"/>
          <w:szCs w:val="32"/>
        </w:rPr>
        <w:t>年度收入</w:t>
      </w:r>
      <w:r>
        <w:rPr>
          <w:rFonts w:ascii="仿宋_GB2312" w:hAnsi="仿宋" w:cs="仿宋" w:hint="eastAsia"/>
          <w:szCs w:val="32"/>
        </w:rPr>
        <w:t>”也不作为</w:t>
      </w:r>
      <w:r w:rsidRPr="007A611E">
        <w:rPr>
          <w:rFonts w:ascii="仿宋_GB2312" w:hAnsi="仿宋" w:cs="仿宋"/>
          <w:szCs w:val="32"/>
        </w:rPr>
        <w:t>认定的必要条件</w:t>
      </w:r>
      <w:r w:rsidRPr="007A611E">
        <w:rPr>
          <w:rFonts w:ascii="仿宋_GB2312" w:hAnsi="仿宋" w:cs="仿宋" w:hint="eastAsia"/>
          <w:szCs w:val="32"/>
        </w:rPr>
        <w:t>，无需提供收入证明，但须有</w:t>
      </w:r>
      <w:r>
        <w:rPr>
          <w:rFonts w:ascii="仿宋_GB2312" w:hAnsi="仿宋" w:cs="仿宋" w:hint="eastAsia"/>
          <w:szCs w:val="32"/>
        </w:rPr>
        <w:t>纳税记录；此外，其他类</w:t>
      </w:r>
      <w:r w:rsidRPr="007A611E">
        <w:rPr>
          <w:rFonts w:ascii="仿宋_GB2312" w:hAnsi="仿宋" w:cs="仿宋"/>
          <w:szCs w:val="32"/>
        </w:rPr>
        <w:t>受聘于企事业单位的人才</w:t>
      </w:r>
      <w:r w:rsidRPr="007A611E">
        <w:rPr>
          <w:rFonts w:ascii="仿宋_GB2312" w:hAnsi="仿宋" w:cs="仿宋" w:hint="eastAsia"/>
          <w:szCs w:val="32"/>
        </w:rPr>
        <w:t>须提供近3年每年高于</w:t>
      </w:r>
      <w:proofErr w:type="gramStart"/>
      <w:r w:rsidRPr="007A611E">
        <w:rPr>
          <w:rFonts w:ascii="仿宋_GB2312" w:hAnsi="仿宋" w:cs="仿宋" w:hint="eastAsia"/>
          <w:szCs w:val="32"/>
        </w:rPr>
        <w:t>社均工资</w:t>
      </w:r>
      <w:proofErr w:type="gramEnd"/>
      <w:r w:rsidRPr="007A611E">
        <w:rPr>
          <w:rFonts w:ascii="仿宋_GB2312" w:hAnsi="仿宋" w:cs="仿宋"/>
          <w:szCs w:val="32"/>
        </w:rPr>
        <w:t>事业单位2.5倍、企业4倍</w:t>
      </w:r>
      <w:r w:rsidRPr="007A611E">
        <w:rPr>
          <w:rFonts w:ascii="仿宋_GB2312" w:hAnsi="仿宋" w:cs="仿宋" w:hint="eastAsia"/>
          <w:szCs w:val="32"/>
        </w:rPr>
        <w:t>的收入证明（其中，</w:t>
      </w:r>
      <w:r w:rsidRPr="007A611E">
        <w:rPr>
          <w:rFonts w:ascii="仿宋_GB2312" w:hAnsi="仿宋" w:cs="仿宋"/>
          <w:szCs w:val="32"/>
        </w:rPr>
        <w:t>毕业后工作未满3年的博士</w:t>
      </w:r>
      <w:r w:rsidRPr="007A611E">
        <w:rPr>
          <w:rFonts w:ascii="仿宋_GB2312" w:hAnsi="仿宋" w:cs="仿宋" w:hint="eastAsia"/>
          <w:szCs w:val="32"/>
        </w:rPr>
        <w:t>，提供</w:t>
      </w:r>
      <w:r w:rsidRPr="007A611E">
        <w:rPr>
          <w:rFonts w:ascii="仿宋_GB2312" w:hAnsi="仿宋" w:cs="仿宋"/>
          <w:szCs w:val="32"/>
        </w:rPr>
        <w:t>近1年内</w:t>
      </w:r>
      <w:r w:rsidRPr="007A611E">
        <w:rPr>
          <w:rFonts w:ascii="仿宋_GB2312" w:hAnsi="仿宋" w:cs="仿宋" w:hint="eastAsia"/>
          <w:szCs w:val="32"/>
        </w:rPr>
        <w:t>高于</w:t>
      </w:r>
      <w:proofErr w:type="gramStart"/>
      <w:r w:rsidRPr="007A611E">
        <w:rPr>
          <w:rFonts w:ascii="仿宋_GB2312" w:hAnsi="仿宋" w:cs="仿宋" w:hint="eastAsia"/>
          <w:szCs w:val="32"/>
        </w:rPr>
        <w:t>社均工资</w:t>
      </w:r>
      <w:proofErr w:type="gramEnd"/>
      <w:r w:rsidRPr="007A611E">
        <w:rPr>
          <w:rFonts w:ascii="仿宋_GB2312" w:hAnsi="仿宋" w:cs="仿宋"/>
          <w:szCs w:val="32"/>
        </w:rPr>
        <w:t>2.5倍</w:t>
      </w:r>
      <w:r w:rsidRPr="007A611E">
        <w:rPr>
          <w:rFonts w:ascii="仿宋_GB2312" w:hAnsi="仿宋" w:cs="仿宋" w:hint="eastAsia"/>
          <w:szCs w:val="32"/>
        </w:rPr>
        <w:t>的收入证明），并提供纳税记录；</w:t>
      </w:r>
      <w:r w:rsidRPr="007A611E">
        <w:rPr>
          <w:rFonts w:ascii="仿宋_GB2312" w:hAnsi="仿宋" w:cs="仿宋"/>
          <w:szCs w:val="32"/>
        </w:rPr>
        <w:t>各设区市自主认定的企业人才，</w:t>
      </w:r>
      <w:r w:rsidRPr="007A611E">
        <w:rPr>
          <w:rFonts w:ascii="仿宋_GB2312" w:hAnsi="仿宋" w:cs="仿宋" w:hint="eastAsia"/>
          <w:szCs w:val="32"/>
        </w:rPr>
        <w:t>仍须提供近3年工薪个人所得税额每年高于7万元的纳税证明（山区地市和重点县年纳税额标准下浮20%）</w:t>
      </w:r>
      <w:r>
        <w:rPr>
          <w:rFonts w:ascii="仿宋_GB2312" w:hAnsi="仿宋" w:cs="仿宋" w:hint="eastAsia"/>
          <w:szCs w:val="32"/>
        </w:rPr>
        <w:t>。</w:t>
      </w:r>
    </w:p>
    <w:p w:rsidR="007A611E" w:rsidRDefault="007A611E" w:rsidP="007A611E">
      <w:pPr>
        <w:spacing w:line="460" w:lineRule="exact"/>
        <w:jc w:val="center"/>
        <w:rPr>
          <w:rFonts w:ascii="宋体" w:eastAsia="宋体" w:hAnsi="宋体" w:cs="宋体" w:hint="eastAsia"/>
          <w:b/>
          <w:sz w:val="36"/>
          <w:szCs w:val="32"/>
        </w:rPr>
      </w:pPr>
      <w:r>
        <w:rPr>
          <w:rFonts w:ascii="黑体" w:eastAsia="黑体" w:hAnsi="黑体" w:cs="黑体" w:hint="eastAsia"/>
          <w:bCs/>
          <w:sz w:val="36"/>
          <w:szCs w:val="32"/>
        </w:rPr>
        <w:lastRenderedPageBreak/>
        <w:t>“个人所得税”APP查询“个人综合所得”采集办法</w:t>
      </w:r>
    </w:p>
    <w:p w:rsidR="007A611E" w:rsidRDefault="007A611E" w:rsidP="007A611E">
      <w:pPr>
        <w:spacing w:line="460" w:lineRule="exact"/>
        <w:rPr>
          <w:rFonts w:ascii="宋体" w:hAnsi="仿宋" w:cs="仿宋" w:hint="eastAsia"/>
          <w:b/>
          <w:sz w:val="44"/>
          <w:szCs w:val="32"/>
        </w:rPr>
      </w:pPr>
    </w:p>
    <w:p w:rsidR="007A611E" w:rsidRDefault="007A611E" w:rsidP="007A611E">
      <w:pPr>
        <w:spacing w:line="540" w:lineRule="exact"/>
        <w:ind w:firstLineChars="200" w:firstLine="640"/>
        <w:rPr>
          <w:rFonts w:ascii="仿宋" w:eastAsia="仿宋" w:hAnsi="仿宋" w:cs="仿宋" w:hint="eastAsia"/>
          <w:szCs w:val="32"/>
        </w:rPr>
      </w:pPr>
      <w:r>
        <w:rPr>
          <w:rFonts w:ascii="仿宋" w:eastAsia="仿宋" w:hAnsi="仿宋" w:cs="仿宋" w:hint="eastAsia"/>
          <w:szCs w:val="32"/>
        </w:rPr>
        <w:t>个人综合所得年度汇算申报明细表（含工资薪金、劳务报酬所得、稿酬所得、特许权使用费所得等四项），可从“个人所得税”APP中查询。登陆“个人所得税”APP,完成上一年度综合所得年度汇算后，在首页点击“我要查询”</w:t>
      </w:r>
    </w:p>
    <w:p w:rsidR="007A611E" w:rsidRDefault="007A611E" w:rsidP="007A611E">
      <w:pPr>
        <w:ind w:firstLineChars="500" w:firstLine="1600"/>
        <w:rPr>
          <w:rFonts w:ascii="仿宋" w:eastAsia="仿宋" w:hAnsi="仿宋" w:cs="仿宋" w:hint="eastAsia"/>
          <w:szCs w:val="32"/>
        </w:rPr>
      </w:pPr>
      <w:r>
        <w:rPr>
          <w:rFonts w:ascii="仿宋" w:eastAsia="仿宋" w:hAnsi="仿宋" w:cs="仿宋"/>
          <w:noProof/>
          <w:szCs w:val="32"/>
        </w:rPr>
        <w:drawing>
          <wp:inline distT="0" distB="0" distL="0" distR="0">
            <wp:extent cx="3352800" cy="2867025"/>
            <wp:effectExtent l="19050" t="0" r="0" b="0"/>
            <wp:docPr id="1" name="图片 5" descr="1d0e7ff08ad32d60bfdd01632af5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d0e7ff08ad32d60bfdd01632af5e79"/>
                    <pic:cNvPicPr>
                      <a:picLocks noChangeAspect="1" noChangeArrowheads="1"/>
                    </pic:cNvPicPr>
                  </pic:nvPicPr>
                  <pic:blipFill>
                    <a:blip r:embed="rId6" cstate="print"/>
                    <a:srcRect/>
                    <a:stretch>
                      <a:fillRect/>
                    </a:stretch>
                  </pic:blipFill>
                  <pic:spPr bwMode="auto">
                    <a:xfrm>
                      <a:off x="0" y="0"/>
                      <a:ext cx="3352800" cy="2867025"/>
                    </a:xfrm>
                    <a:prstGeom prst="rect">
                      <a:avLst/>
                    </a:prstGeom>
                    <a:noFill/>
                    <a:ln w="9525">
                      <a:noFill/>
                      <a:miter lim="800000"/>
                      <a:headEnd/>
                      <a:tailEnd/>
                    </a:ln>
                    <a:effectLst/>
                  </pic:spPr>
                </pic:pic>
              </a:graphicData>
            </a:graphic>
          </wp:inline>
        </w:drawing>
      </w:r>
    </w:p>
    <w:p w:rsidR="007A611E" w:rsidRDefault="007A611E" w:rsidP="007A611E">
      <w:pPr>
        <w:ind w:left="1615"/>
        <w:rPr>
          <w:rFonts w:ascii="仿宋" w:eastAsia="仿宋" w:hAnsi="仿宋" w:cs="仿宋" w:hint="eastAsia"/>
          <w:szCs w:val="32"/>
        </w:rPr>
      </w:pPr>
      <w:r>
        <w:rPr>
          <w:rFonts w:ascii="仿宋" w:eastAsia="仿宋" w:hAnsi="仿宋" w:cs="仿宋" w:hint="eastAsia"/>
          <w:szCs w:val="32"/>
        </w:rPr>
        <w:t xml:space="preserve">1.“申报信息查询”下点击“申报查询”                                                                                         </w:t>
      </w:r>
      <w:r>
        <w:rPr>
          <w:rFonts w:ascii="仿宋" w:eastAsia="仿宋" w:hAnsi="仿宋" w:cs="仿宋"/>
          <w:noProof/>
          <w:szCs w:val="32"/>
        </w:rPr>
        <w:drawing>
          <wp:inline distT="0" distB="0" distL="0" distR="0">
            <wp:extent cx="3829050" cy="2924175"/>
            <wp:effectExtent l="19050" t="0" r="0" b="0"/>
            <wp:docPr id="2" name="图片 2" descr="3aa13ef6418484dde1297ad3215d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aa13ef6418484dde1297ad3215dc0f"/>
                    <pic:cNvPicPr>
                      <a:picLocks noChangeAspect="1" noChangeArrowheads="1"/>
                    </pic:cNvPicPr>
                  </pic:nvPicPr>
                  <pic:blipFill>
                    <a:blip r:embed="rId7" cstate="print"/>
                    <a:srcRect/>
                    <a:stretch>
                      <a:fillRect/>
                    </a:stretch>
                  </pic:blipFill>
                  <pic:spPr bwMode="auto">
                    <a:xfrm>
                      <a:off x="0" y="0"/>
                      <a:ext cx="3829050" cy="2924175"/>
                    </a:xfrm>
                    <a:prstGeom prst="rect">
                      <a:avLst/>
                    </a:prstGeom>
                    <a:noFill/>
                    <a:ln w="9525">
                      <a:noFill/>
                      <a:miter lim="800000"/>
                      <a:headEnd/>
                      <a:tailEnd/>
                    </a:ln>
                  </pic:spPr>
                </pic:pic>
              </a:graphicData>
            </a:graphic>
          </wp:inline>
        </w:drawing>
      </w:r>
    </w:p>
    <w:p w:rsidR="007A611E" w:rsidRDefault="007A611E" w:rsidP="007A611E">
      <w:pPr>
        <w:ind w:left="1615"/>
        <w:rPr>
          <w:rFonts w:ascii="仿宋" w:eastAsia="仿宋" w:hAnsi="仿宋" w:cs="仿宋" w:hint="eastAsia"/>
          <w:szCs w:val="32"/>
        </w:rPr>
      </w:pPr>
      <w:r>
        <w:rPr>
          <w:rFonts w:ascii="仿宋" w:eastAsia="仿宋" w:hAnsi="仿宋" w:cs="仿宋" w:hint="eastAsia"/>
          <w:szCs w:val="32"/>
        </w:rPr>
        <w:t xml:space="preserve">2.选择“已完成”后选择“汇算年度”        </w:t>
      </w:r>
      <w:r>
        <w:rPr>
          <w:rFonts w:ascii="仿宋" w:eastAsia="仿宋" w:hAnsi="仿宋" w:cs="仿宋"/>
          <w:noProof/>
          <w:szCs w:val="32"/>
        </w:rPr>
        <w:lastRenderedPageBreak/>
        <w:drawing>
          <wp:inline distT="0" distB="0" distL="0" distR="0">
            <wp:extent cx="3228975" cy="3200400"/>
            <wp:effectExtent l="19050" t="0" r="9525" b="0"/>
            <wp:docPr id="3" name="图片 4" descr="527983d8eee9729c45b72ec18c4a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527983d8eee9729c45b72ec18c4a963"/>
                    <pic:cNvPicPr>
                      <a:picLocks noChangeAspect="1" noChangeArrowheads="1"/>
                    </pic:cNvPicPr>
                  </pic:nvPicPr>
                  <pic:blipFill>
                    <a:blip r:embed="rId8" cstate="print"/>
                    <a:srcRect/>
                    <a:stretch>
                      <a:fillRect/>
                    </a:stretch>
                  </pic:blipFill>
                  <pic:spPr bwMode="auto">
                    <a:xfrm>
                      <a:off x="0" y="0"/>
                      <a:ext cx="3228975" cy="3200400"/>
                    </a:xfrm>
                    <a:prstGeom prst="rect">
                      <a:avLst/>
                    </a:prstGeom>
                    <a:noFill/>
                    <a:ln w="9525">
                      <a:noFill/>
                      <a:miter lim="800000"/>
                      <a:headEnd/>
                      <a:tailEnd/>
                    </a:ln>
                    <a:effectLst/>
                  </pic:spPr>
                </pic:pic>
              </a:graphicData>
            </a:graphic>
          </wp:inline>
        </w:drawing>
      </w:r>
    </w:p>
    <w:p w:rsidR="007A611E" w:rsidRDefault="007A611E" w:rsidP="007A611E">
      <w:pPr>
        <w:ind w:left="1615"/>
        <w:rPr>
          <w:rFonts w:ascii="仿宋" w:eastAsia="仿宋" w:hAnsi="仿宋" w:cs="仿宋"/>
          <w:szCs w:val="32"/>
        </w:rPr>
      </w:pPr>
      <w:r>
        <w:rPr>
          <w:rFonts w:ascii="仿宋" w:eastAsia="仿宋" w:hAnsi="仿宋" w:cs="仿宋" w:hint="eastAsia"/>
          <w:szCs w:val="32"/>
        </w:rPr>
        <w:t>3.申报记录—点击“综合所得年度汇算申报明细”下“收入合计”</w:t>
      </w:r>
    </w:p>
    <w:p w:rsidR="007A611E" w:rsidRDefault="007A611E" w:rsidP="007A611E">
      <w:pPr>
        <w:ind w:firstLineChars="500" w:firstLine="1600"/>
        <w:rPr>
          <w:rFonts w:ascii="仿宋" w:eastAsia="仿宋" w:hAnsi="仿宋" w:cs="仿宋" w:hint="eastAsia"/>
          <w:szCs w:val="32"/>
        </w:rPr>
      </w:pPr>
      <w:r>
        <w:rPr>
          <w:rFonts w:ascii="仿宋" w:eastAsia="仿宋" w:hAnsi="仿宋" w:cs="仿宋"/>
          <w:noProof/>
          <w:szCs w:val="32"/>
        </w:rPr>
        <w:drawing>
          <wp:inline distT="0" distB="0" distL="0" distR="0">
            <wp:extent cx="3209925" cy="3686175"/>
            <wp:effectExtent l="19050" t="0" r="9525" b="0"/>
            <wp:docPr id="4" name="图片 3" descr="8bf666caa32034cf12a16c220f823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bf666caa32034cf12a16c220f823fa"/>
                    <pic:cNvPicPr>
                      <a:picLocks noChangeAspect="1" noChangeArrowheads="1"/>
                    </pic:cNvPicPr>
                  </pic:nvPicPr>
                  <pic:blipFill>
                    <a:blip r:embed="rId9" cstate="print"/>
                    <a:srcRect/>
                    <a:stretch>
                      <a:fillRect/>
                    </a:stretch>
                  </pic:blipFill>
                  <pic:spPr bwMode="auto">
                    <a:xfrm>
                      <a:off x="0" y="0"/>
                      <a:ext cx="3209925" cy="3686175"/>
                    </a:xfrm>
                    <a:prstGeom prst="rect">
                      <a:avLst/>
                    </a:prstGeom>
                    <a:noFill/>
                    <a:ln w="9525">
                      <a:noFill/>
                      <a:miter lim="800000"/>
                      <a:headEnd/>
                      <a:tailEnd/>
                    </a:ln>
                    <a:effectLst/>
                  </pic:spPr>
                </pic:pic>
              </a:graphicData>
            </a:graphic>
          </wp:inline>
        </w:drawing>
      </w:r>
    </w:p>
    <w:p w:rsidR="007A611E" w:rsidRDefault="007A611E" w:rsidP="007A611E">
      <w:pPr>
        <w:ind w:leftChars="300" w:left="1280" w:hangingChars="100" w:hanging="320"/>
        <w:rPr>
          <w:rFonts w:ascii="仿宋" w:eastAsia="仿宋" w:hAnsi="仿宋" w:cs="仿宋"/>
          <w:szCs w:val="32"/>
        </w:rPr>
      </w:pPr>
      <w:r>
        <w:rPr>
          <w:rFonts w:ascii="仿宋" w:eastAsia="仿宋" w:hAnsi="仿宋" w:cs="仿宋" w:hint="eastAsia"/>
          <w:szCs w:val="32"/>
        </w:rPr>
        <w:t>4.对工资薪金、劳务报酬所得、稿酬所得、特许权使用费所得等四项金额合计分别截屏打印。</w:t>
      </w:r>
    </w:p>
    <w:p w:rsidR="007A611E" w:rsidRDefault="007A611E" w:rsidP="007A611E">
      <w:pPr>
        <w:ind w:firstLineChars="500" w:firstLine="1600"/>
        <w:rPr>
          <w:rFonts w:ascii="仿宋" w:eastAsia="仿宋" w:hAnsi="仿宋" w:cs="仿宋"/>
          <w:szCs w:val="32"/>
        </w:rPr>
      </w:pPr>
      <w:r>
        <w:rPr>
          <w:rFonts w:ascii="仿宋" w:eastAsia="仿宋" w:hAnsi="仿宋" w:cs="仿宋"/>
          <w:noProof/>
          <w:szCs w:val="32"/>
        </w:rPr>
        <w:lastRenderedPageBreak/>
        <w:drawing>
          <wp:inline distT="0" distB="0" distL="0" distR="0">
            <wp:extent cx="3333750" cy="3200400"/>
            <wp:effectExtent l="19050" t="0" r="0" b="0"/>
            <wp:docPr id="5" name="图片 6" descr="1c20b4f5b8155706ca1442937c1d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c20b4f5b8155706ca1442937c1ded8"/>
                    <pic:cNvPicPr>
                      <a:picLocks noChangeAspect="1" noChangeArrowheads="1"/>
                    </pic:cNvPicPr>
                  </pic:nvPicPr>
                  <pic:blipFill>
                    <a:blip r:embed="rId10" cstate="print"/>
                    <a:srcRect/>
                    <a:stretch>
                      <a:fillRect/>
                    </a:stretch>
                  </pic:blipFill>
                  <pic:spPr bwMode="auto">
                    <a:xfrm>
                      <a:off x="0" y="0"/>
                      <a:ext cx="3333750" cy="3200400"/>
                    </a:xfrm>
                    <a:prstGeom prst="rect">
                      <a:avLst/>
                    </a:prstGeom>
                    <a:noFill/>
                    <a:ln w="9525">
                      <a:noFill/>
                      <a:miter lim="800000"/>
                      <a:headEnd/>
                      <a:tailEnd/>
                    </a:ln>
                    <a:effectLst/>
                  </pic:spPr>
                </pic:pic>
              </a:graphicData>
            </a:graphic>
          </wp:inline>
        </w:drawing>
      </w:r>
    </w:p>
    <w:p w:rsidR="007A611E" w:rsidRDefault="007A611E" w:rsidP="007A611E">
      <w:pPr>
        <w:rPr>
          <w:rFonts w:ascii="仿宋" w:eastAsia="仿宋" w:hAnsi="仿宋" w:cs="仿宋" w:hint="eastAsia"/>
          <w:b/>
          <w:szCs w:val="32"/>
        </w:rPr>
      </w:pPr>
    </w:p>
    <w:p w:rsidR="007A611E" w:rsidRDefault="007A611E" w:rsidP="007A611E">
      <w:pPr>
        <w:ind w:firstLineChars="200" w:firstLine="643"/>
        <w:rPr>
          <w:rFonts w:ascii="仿宋" w:eastAsia="仿宋" w:hAnsi="仿宋" w:cs="仿宋"/>
          <w:b/>
          <w:szCs w:val="32"/>
        </w:rPr>
      </w:pPr>
      <w:r>
        <w:rPr>
          <w:rFonts w:ascii="仿宋" w:eastAsia="仿宋" w:hAnsi="仿宋" w:cs="仿宋" w:hint="eastAsia"/>
          <w:b/>
          <w:szCs w:val="32"/>
        </w:rPr>
        <w:t>（注：打印件经个人签字、用人单位核实盖章后扫描上</w:t>
      </w:r>
      <w:proofErr w:type="gramStart"/>
      <w:r>
        <w:rPr>
          <w:rFonts w:ascii="仿宋" w:eastAsia="仿宋" w:hAnsi="仿宋" w:cs="仿宋" w:hint="eastAsia"/>
          <w:b/>
          <w:szCs w:val="32"/>
        </w:rPr>
        <w:t>传作为</w:t>
      </w:r>
      <w:proofErr w:type="gramEnd"/>
      <w:r>
        <w:rPr>
          <w:rFonts w:ascii="仿宋" w:eastAsia="仿宋" w:hAnsi="仿宋" w:cs="仿宋" w:hint="eastAsia"/>
          <w:b/>
          <w:szCs w:val="32"/>
        </w:rPr>
        <w:t>个人年度收入证明材料）</w:t>
      </w:r>
    </w:p>
    <w:p w:rsidR="00FD05A3" w:rsidRPr="007A611E" w:rsidRDefault="00FD05A3"/>
    <w:sectPr w:rsidR="00FD05A3" w:rsidRPr="007A611E" w:rsidSect="00FD0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F0" w:rsidRDefault="003765F0" w:rsidP="007A611E">
      <w:r>
        <w:separator/>
      </w:r>
    </w:p>
  </w:endnote>
  <w:endnote w:type="continuationSeparator" w:id="0">
    <w:p w:rsidR="003765F0" w:rsidRDefault="003765F0" w:rsidP="007A6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F0" w:rsidRDefault="003765F0" w:rsidP="007A611E">
      <w:r>
        <w:separator/>
      </w:r>
    </w:p>
  </w:footnote>
  <w:footnote w:type="continuationSeparator" w:id="0">
    <w:p w:rsidR="003765F0" w:rsidRDefault="003765F0" w:rsidP="007A6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11E"/>
    <w:rsid w:val="003765F0"/>
    <w:rsid w:val="007A611E"/>
    <w:rsid w:val="00FD0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1E"/>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1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611E"/>
    <w:rPr>
      <w:sz w:val="18"/>
      <w:szCs w:val="18"/>
    </w:rPr>
  </w:style>
  <w:style w:type="paragraph" w:styleId="a4">
    <w:name w:val="footer"/>
    <w:basedOn w:val="a"/>
    <w:link w:val="Char0"/>
    <w:uiPriority w:val="99"/>
    <w:semiHidden/>
    <w:unhideWhenUsed/>
    <w:rsid w:val="007A61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611E"/>
    <w:rPr>
      <w:sz w:val="18"/>
      <w:szCs w:val="18"/>
    </w:rPr>
  </w:style>
  <w:style w:type="paragraph" w:styleId="a5">
    <w:name w:val="Balloon Text"/>
    <w:basedOn w:val="a"/>
    <w:link w:val="Char1"/>
    <w:uiPriority w:val="99"/>
    <w:semiHidden/>
    <w:unhideWhenUsed/>
    <w:rsid w:val="007A611E"/>
    <w:rPr>
      <w:sz w:val="18"/>
      <w:szCs w:val="18"/>
    </w:rPr>
  </w:style>
  <w:style w:type="character" w:customStyle="1" w:styleId="Char1">
    <w:name w:val="批注框文本 Char"/>
    <w:basedOn w:val="a0"/>
    <w:link w:val="a5"/>
    <w:uiPriority w:val="99"/>
    <w:semiHidden/>
    <w:rsid w:val="007A611E"/>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2021-04-28T03:30:00Z</dcterms:created>
  <dcterms:modified xsi:type="dcterms:W3CDTF">2021-04-28T03:32:00Z</dcterms:modified>
</cp:coreProperties>
</file>