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7B" w:rsidRPr="0056747B" w:rsidRDefault="0056747B" w:rsidP="0056747B">
      <w:pPr>
        <w:widowControl/>
        <w:shd w:val="clear" w:color="auto" w:fill="FFFFFF"/>
        <w:spacing w:line="480" w:lineRule="atLeast"/>
        <w:jc w:val="center"/>
        <w:rPr>
          <w:rFonts w:ascii="微软雅黑" w:eastAsia="微软雅黑" w:hAnsi="微软雅黑" w:cs="Helvetica"/>
          <w:b/>
          <w:bCs/>
          <w:color w:val="727272"/>
          <w:kern w:val="0"/>
          <w:sz w:val="27"/>
          <w:szCs w:val="27"/>
        </w:rPr>
      </w:pPr>
      <w:r w:rsidRPr="0056747B">
        <w:rPr>
          <w:rFonts w:ascii="微软雅黑" w:eastAsia="微软雅黑" w:hAnsi="微软雅黑" w:cs="Helvetica" w:hint="eastAsia"/>
          <w:b/>
          <w:bCs/>
          <w:color w:val="727272"/>
          <w:kern w:val="0"/>
          <w:sz w:val="27"/>
          <w:szCs w:val="27"/>
        </w:rPr>
        <w:t>关于进一步加强研究生学位论文和学位授予管理的通知</w:t>
      </w:r>
    </w:p>
    <w:p w:rsidR="0056747B" w:rsidRPr="0056747B" w:rsidRDefault="0056747B" w:rsidP="0056747B">
      <w:pPr>
        <w:widowControl/>
        <w:shd w:val="clear" w:color="auto" w:fill="FFFFFF"/>
        <w:spacing w:line="420" w:lineRule="atLeast"/>
        <w:jc w:val="center"/>
        <w:rPr>
          <w:rFonts w:ascii="微软雅黑" w:eastAsia="微软雅黑" w:hAnsi="微软雅黑" w:cs="Helvetica"/>
          <w:color w:val="999999"/>
          <w:kern w:val="0"/>
          <w:szCs w:val="21"/>
        </w:rPr>
      </w:pPr>
      <w:r w:rsidRPr="0056747B">
        <w:rPr>
          <w:rFonts w:ascii="微软雅黑" w:eastAsia="微软雅黑" w:hAnsi="微软雅黑" w:cs="Helvetica" w:hint="eastAsia"/>
          <w:color w:val="999999"/>
          <w:kern w:val="0"/>
          <w:szCs w:val="21"/>
        </w:rPr>
        <w:t>2019年12月19日</w:t>
      </w:r>
    </w:p>
    <w:p w:rsidR="0056747B" w:rsidRPr="0056747B" w:rsidRDefault="0056747B" w:rsidP="0056747B">
      <w:pPr>
        <w:widowControl/>
        <w:shd w:val="clear" w:color="auto" w:fill="FFFFFF"/>
        <w:spacing w:after="150" w:line="540" w:lineRule="atLeast"/>
        <w:jc w:val="left"/>
        <w:rPr>
          <w:rFonts w:ascii="微软雅黑" w:eastAsia="微软雅黑" w:hAnsi="微软雅黑" w:cs="Helvetica"/>
          <w:color w:val="727272"/>
          <w:kern w:val="0"/>
          <w:szCs w:val="21"/>
        </w:rPr>
      </w:pPr>
      <w:r w:rsidRPr="0056747B">
        <w:rPr>
          <w:rFonts w:ascii="fangsong_gb2312" w:eastAsia="微软雅黑" w:hAnsi="fangsong_gb2312" w:cs="Helvetica"/>
          <w:color w:val="727272"/>
          <w:kern w:val="0"/>
          <w:sz w:val="30"/>
          <w:szCs w:val="30"/>
        </w:rPr>
        <w:t>各学院（研究院）：</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仿宋_GB2312" w:eastAsia="仿宋_GB2312" w:hAnsi="仿宋_GB2312" w:cs="Helvetica" w:hint="eastAsia"/>
          <w:color w:val="727272"/>
          <w:kern w:val="0"/>
          <w:sz w:val="30"/>
          <w:szCs w:val="30"/>
        </w:rPr>
        <w:t>为进一步加强研究生学位论文质量保障和学位授予管理，提高研究生学位授予质量，经研究，现对我校研究生学位论文相关要求通知如下：</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黑体" w:eastAsia="黑体" w:hAnsi="黑体" w:cs="Helvetica" w:hint="eastAsia"/>
          <w:b/>
          <w:bCs/>
          <w:color w:val="727272"/>
          <w:kern w:val="0"/>
          <w:sz w:val="32"/>
          <w:szCs w:val="32"/>
        </w:rPr>
        <w:t>一、进一步加强学位论文查重检测</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仿宋_GB2312" w:eastAsia="仿宋_GB2312" w:hAnsi="仿宋_GB2312" w:cs="Helvetica" w:hint="eastAsia"/>
          <w:color w:val="727272"/>
          <w:kern w:val="0"/>
          <w:sz w:val="30"/>
          <w:szCs w:val="30"/>
        </w:rPr>
        <w:t>2020年1月1日起，研究生学位论文“去除本人已发表文献复制比”（以下简称“复制比”）由“须低于20%”调整为“须低于10%”。对于查重过程中复制比超过10%（含10%）的学位论文，学院应根据超出程度分段制定处理规则，并报研究生院备案。</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黑体" w:eastAsia="黑体" w:hAnsi="黑体" w:cs="Helvetica" w:hint="eastAsia"/>
          <w:b/>
          <w:bCs/>
          <w:color w:val="727272"/>
          <w:kern w:val="0"/>
          <w:sz w:val="32"/>
          <w:szCs w:val="32"/>
        </w:rPr>
        <w:t>二、全面启用教育部学位中心“学位论文送审平台”送审博士学位论文</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仿宋_GB2312" w:eastAsia="仿宋_GB2312" w:hAnsi="仿宋_GB2312" w:cs="Helvetica" w:hint="eastAsia"/>
          <w:color w:val="727272"/>
          <w:kern w:val="0"/>
          <w:sz w:val="30"/>
          <w:szCs w:val="30"/>
        </w:rPr>
        <w:t>2020年1月1日起，全校非涉密博士学位论文原则上均通过平台送审。</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Times New Roman" w:eastAsia="仿宋_GB2312" w:hAnsi="Times New Roman" w:cs="Times New Roman"/>
          <w:color w:val="727272"/>
          <w:kern w:val="0"/>
          <w:sz w:val="30"/>
          <w:szCs w:val="30"/>
        </w:rPr>
        <w:t>1.</w:t>
      </w:r>
      <w:r w:rsidRPr="0056747B">
        <w:rPr>
          <w:rFonts w:ascii="仿宋_GB2312" w:eastAsia="仿宋_GB2312" w:hAnsi="仿宋_GB2312" w:cs="Helvetica" w:hint="eastAsia"/>
          <w:color w:val="727272"/>
          <w:kern w:val="0"/>
          <w:sz w:val="30"/>
          <w:szCs w:val="30"/>
        </w:rPr>
        <w:t>时间安排</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仿宋_GB2312" w:eastAsia="仿宋_GB2312" w:hAnsi="仿宋_GB2312" w:cs="Helvetica" w:hint="eastAsia"/>
          <w:color w:val="727272"/>
          <w:kern w:val="0"/>
          <w:sz w:val="30"/>
          <w:szCs w:val="30"/>
        </w:rPr>
        <w:t>平台一般在</w:t>
      </w:r>
      <w:r w:rsidRPr="0056747B">
        <w:rPr>
          <w:rFonts w:ascii="Times New Roman" w:eastAsia="仿宋_GB2312" w:hAnsi="Times New Roman" w:cs="Times New Roman"/>
          <w:color w:val="727272"/>
          <w:kern w:val="0"/>
          <w:sz w:val="30"/>
          <w:szCs w:val="30"/>
        </w:rPr>
        <w:t>35</w:t>
      </w:r>
      <w:r w:rsidRPr="0056747B">
        <w:rPr>
          <w:rFonts w:ascii="仿宋_GB2312" w:eastAsia="仿宋_GB2312" w:hAnsi="仿宋_GB2312" w:cs="Helvetica" w:hint="eastAsia"/>
          <w:color w:val="727272"/>
          <w:kern w:val="0"/>
          <w:sz w:val="30"/>
          <w:szCs w:val="30"/>
        </w:rPr>
        <w:t>个工作日内完成论文评阅，若增评</w:t>
      </w:r>
      <w:r w:rsidRPr="0056747B">
        <w:rPr>
          <w:rFonts w:ascii="Times New Roman" w:eastAsia="仿宋_GB2312" w:hAnsi="Times New Roman" w:cs="Times New Roman"/>
          <w:color w:val="727272"/>
          <w:kern w:val="0"/>
          <w:sz w:val="30"/>
          <w:szCs w:val="30"/>
        </w:rPr>
        <w:t>2</w:t>
      </w:r>
      <w:r w:rsidRPr="0056747B">
        <w:rPr>
          <w:rFonts w:ascii="仿宋_GB2312" w:eastAsia="仿宋_GB2312" w:hAnsi="仿宋_GB2312" w:cs="Helvetica" w:hint="eastAsia"/>
          <w:color w:val="727272"/>
          <w:kern w:val="0"/>
          <w:sz w:val="30"/>
          <w:szCs w:val="30"/>
        </w:rPr>
        <w:t>篇，评审时间自增评日期开始顺延</w:t>
      </w:r>
      <w:r w:rsidRPr="0056747B">
        <w:rPr>
          <w:rFonts w:ascii="Times New Roman" w:eastAsia="仿宋_GB2312" w:hAnsi="Times New Roman" w:cs="Times New Roman"/>
          <w:color w:val="727272"/>
          <w:kern w:val="0"/>
          <w:sz w:val="30"/>
          <w:szCs w:val="30"/>
        </w:rPr>
        <w:t>15</w:t>
      </w:r>
      <w:r w:rsidRPr="0056747B">
        <w:rPr>
          <w:rFonts w:ascii="仿宋_GB2312" w:eastAsia="仿宋_GB2312" w:hAnsi="仿宋_GB2312" w:cs="Helvetica" w:hint="eastAsia"/>
          <w:color w:val="727272"/>
          <w:kern w:val="0"/>
          <w:sz w:val="30"/>
          <w:szCs w:val="30"/>
        </w:rPr>
        <w:t>个工作日。</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仿宋_GB2312" w:eastAsia="仿宋_GB2312" w:hAnsi="仿宋_GB2312" w:cs="Helvetica" w:hint="eastAsia"/>
          <w:color w:val="727272"/>
          <w:kern w:val="0"/>
          <w:sz w:val="30"/>
          <w:szCs w:val="30"/>
        </w:rPr>
        <w:lastRenderedPageBreak/>
        <w:t>当年预计于</w:t>
      </w:r>
      <w:r w:rsidRPr="0056747B">
        <w:rPr>
          <w:rFonts w:ascii="Times New Roman" w:eastAsia="仿宋_GB2312" w:hAnsi="Times New Roman" w:cs="Times New Roman"/>
          <w:color w:val="727272"/>
          <w:kern w:val="0"/>
          <w:sz w:val="30"/>
          <w:szCs w:val="30"/>
        </w:rPr>
        <w:t>6</w:t>
      </w:r>
      <w:r w:rsidRPr="0056747B">
        <w:rPr>
          <w:rFonts w:ascii="仿宋_GB2312" w:eastAsia="仿宋_GB2312" w:hAnsi="仿宋_GB2312" w:cs="Helvetica" w:hint="eastAsia"/>
          <w:color w:val="727272"/>
          <w:kern w:val="0"/>
          <w:sz w:val="30"/>
          <w:szCs w:val="30"/>
        </w:rPr>
        <w:t>月、</w:t>
      </w:r>
      <w:r w:rsidRPr="0056747B">
        <w:rPr>
          <w:rFonts w:ascii="Times New Roman" w:eastAsia="仿宋_GB2312" w:hAnsi="Times New Roman" w:cs="Times New Roman"/>
          <w:color w:val="727272"/>
          <w:kern w:val="0"/>
          <w:sz w:val="30"/>
          <w:szCs w:val="30"/>
        </w:rPr>
        <w:t>9</w:t>
      </w:r>
      <w:r w:rsidRPr="0056747B">
        <w:rPr>
          <w:rFonts w:ascii="仿宋_GB2312" w:eastAsia="仿宋_GB2312" w:hAnsi="仿宋_GB2312" w:cs="Helvetica" w:hint="eastAsia"/>
          <w:color w:val="727272"/>
          <w:kern w:val="0"/>
          <w:sz w:val="30"/>
          <w:szCs w:val="30"/>
        </w:rPr>
        <w:t>月、</w:t>
      </w:r>
      <w:r w:rsidRPr="0056747B">
        <w:rPr>
          <w:rFonts w:ascii="Times New Roman" w:eastAsia="仿宋_GB2312" w:hAnsi="Times New Roman" w:cs="Times New Roman"/>
          <w:color w:val="727272"/>
          <w:kern w:val="0"/>
          <w:sz w:val="30"/>
          <w:szCs w:val="30"/>
        </w:rPr>
        <w:t>12</w:t>
      </w:r>
      <w:r w:rsidRPr="0056747B">
        <w:rPr>
          <w:rFonts w:ascii="仿宋_GB2312" w:eastAsia="仿宋_GB2312" w:hAnsi="仿宋_GB2312" w:cs="Helvetica" w:hint="eastAsia"/>
          <w:color w:val="727272"/>
          <w:kern w:val="0"/>
          <w:sz w:val="30"/>
          <w:szCs w:val="30"/>
        </w:rPr>
        <w:t>月申请博士学位的非涉密博士学位论文，各学院（研究院）应分别于</w:t>
      </w:r>
      <w:r w:rsidRPr="0056747B">
        <w:rPr>
          <w:rFonts w:ascii="Times New Roman" w:eastAsia="仿宋_GB2312" w:hAnsi="Times New Roman" w:cs="Times New Roman"/>
          <w:color w:val="727272"/>
          <w:kern w:val="0"/>
          <w:sz w:val="30"/>
          <w:szCs w:val="30"/>
        </w:rPr>
        <w:t>3</w:t>
      </w:r>
      <w:r w:rsidRPr="0056747B">
        <w:rPr>
          <w:rFonts w:ascii="仿宋_GB2312" w:eastAsia="仿宋_GB2312" w:hAnsi="仿宋_GB2312" w:cs="Helvetica" w:hint="eastAsia"/>
          <w:color w:val="727272"/>
          <w:kern w:val="0"/>
          <w:sz w:val="30"/>
          <w:szCs w:val="30"/>
        </w:rPr>
        <w:t>月</w:t>
      </w:r>
      <w:r w:rsidRPr="0056747B">
        <w:rPr>
          <w:rFonts w:ascii="Times New Roman" w:eastAsia="仿宋_GB2312" w:hAnsi="Times New Roman" w:cs="Times New Roman"/>
          <w:color w:val="727272"/>
          <w:kern w:val="0"/>
          <w:sz w:val="30"/>
          <w:szCs w:val="30"/>
        </w:rPr>
        <w:t>1</w:t>
      </w:r>
      <w:r w:rsidRPr="0056747B">
        <w:rPr>
          <w:rFonts w:ascii="仿宋_GB2312" w:eastAsia="仿宋_GB2312" w:hAnsi="仿宋_GB2312" w:cs="Helvetica" w:hint="eastAsia"/>
          <w:color w:val="727272"/>
          <w:kern w:val="0"/>
          <w:sz w:val="30"/>
          <w:szCs w:val="30"/>
        </w:rPr>
        <w:t>日、</w:t>
      </w:r>
      <w:r w:rsidRPr="0056747B">
        <w:rPr>
          <w:rFonts w:ascii="Times New Roman" w:eastAsia="仿宋_GB2312" w:hAnsi="Times New Roman" w:cs="Times New Roman"/>
          <w:color w:val="727272"/>
          <w:kern w:val="0"/>
          <w:sz w:val="30"/>
          <w:szCs w:val="30"/>
        </w:rPr>
        <w:t>6</w:t>
      </w:r>
      <w:r w:rsidRPr="0056747B">
        <w:rPr>
          <w:rFonts w:ascii="仿宋_GB2312" w:eastAsia="仿宋_GB2312" w:hAnsi="仿宋_GB2312" w:cs="Helvetica" w:hint="eastAsia"/>
          <w:color w:val="727272"/>
          <w:kern w:val="0"/>
          <w:sz w:val="30"/>
          <w:szCs w:val="30"/>
        </w:rPr>
        <w:t>月</w:t>
      </w:r>
      <w:r w:rsidRPr="0056747B">
        <w:rPr>
          <w:rFonts w:ascii="Times New Roman" w:eastAsia="仿宋_GB2312" w:hAnsi="Times New Roman" w:cs="Times New Roman"/>
          <w:color w:val="727272"/>
          <w:kern w:val="0"/>
          <w:sz w:val="30"/>
          <w:szCs w:val="30"/>
        </w:rPr>
        <w:t>30</w:t>
      </w:r>
      <w:r w:rsidRPr="0056747B">
        <w:rPr>
          <w:rFonts w:ascii="仿宋_GB2312" w:eastAsia="仿宋_GB2312" w:hAnsi="仿宋_GB2312" w:cs="Helvetica" w:hint="eastAsia"/>
          <w:color w:val="727272"/>
          <w:kern w:val="0"/>
          <w:sz w:val="30"/>
          <w:szCs w:val="30"/>
        </w:rPr>
        <w:t>日、</w:t>
      </w:r>
      <w:r w:rsidRPr="0056747B">
        <w:rPr>
          <w:rFonts w:ascii="Times New Roman" w:eastAsia="仿宋_GB2312" w:hAnsi="Times New Roman" w:cs="Times New Roman"/>
          <w:color w:val="727272"/>
          <w:kern w:val="0"/>
          <w:sz w:val="30"/>
          <w:szCs w:val="30"/>
        </w:rPr>
        <w:t>9</w:t>
      </w:r>
      <w:r w:rsidRPr="0056747B">
        <w:rPr>
          <w:rFonts w:ascii="仿宋_GB2312" w:eastAsia="仿宋_GB2312" w:hAnsi="仿宋_GB2312" w:cs="Helvetica" w:hint="eastAsia"/>
          <w:color w:val="727272"/>
          <w:kern w:val="0"/>
          <w:sz w:val="30"/>
          <w:szCs w:val="30"/>
        </w:rPr>
        <w:t>月</w:t>
      </w:r>
      <w:r w:rsidRPr="0056747B">
        <w:rPr>
          <w:rFonts w:ascii="Times New Roman" w:eastAsia="仿宋_GB2312" w:hAnsi="Times New Roman" w:cs="Times New Roman"/>
          <w:color w:val="727272"/>
          <w:kern w:val="0"/>
          <w:sz w:val="30"/>
          <w:szCs w:val="30"/>
        </w:rPr>
        <w:t>30</w:t>
      </w:r>
      <w:r w:rsidRPr="0056747B">
        <w:rPr>
          <w:rFonts w:ascii="仿宋_GB2312" w:eastAsia="仿宋_GB2312" w:hAnsi="仿宋_GB2312" w:cs="Helvetica" w:hint="eastAsia"/>
          <w:color w:val="727272"/>
          <w:kern w:val="0"/>
          <w:sz w:val="30"/>
          <w:szCs w:val="30"/>
        </w:rPr>
        <w:t>日前将论文提交至送审平台。其他时间段也可送审，但超过以上时间送审不保证按预计时间申请博士学位。</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仿宋_GB2312" w:eastAsia="仿宋_GB2312" w:hAnsi="仿宋_GB2312" w:cs="Helvetica" w:hint="eastAsia"/>
          <w:color w:val="727272"/>
          <w:kern w:val="0"/>
          <w:sz w:val="30"/>
          <w:szCs w:val="30"/>
        </w:rPr>
        <w:t>工作流程及学位论文送审平台使用指南详见附件。</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Times New Roman" w:eastAsia="仿宋_GB2312" w:hAnsi="Times New Roman" w:cs="Times New Roman"/>
          <w:color w:val="727272"/>
          <w:kern w:val="0"/>
          <w:sz w:val="32"/>
          <w:szCs w:val="32"/>
        </w:rPr>
        <w:t>2.</w:t>
      </w:r>
      <w:r w:rsidRPr="0056747B">
        <w:rPr>
          <w:rFonts w:ascii="仿宋_GB2312" w:eastAsia="仿宋_GB2312" w:hAnsi="仿宋_GB2312" w:cs="Helvetica" w:hint="eastAsia"/>
          <w:color w:val="727272"/>
          <w:kern w:val="0"/>
          <w:sz w:val="32"/>
          <w:szCs w:val="32"/>
        </w:rPr>
        <w:t>其他</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仿宋_GB2312" w:eastAsia="仿宋_GB2312" w:hAnsi="仿宋_GB2312" w:cs="Helvetica" w:hint="eastAsia"/>
          <w:color w:val="727272"/>
          <w:kern w:val="0"/>
          <w:sz w:val="30"/>
          <w:szCs w:val="30"/>
        </w:rPr>
        <w:t>因成果转化、专利申请等特殊原因确需进行线下送审的相关研究方向的博士学位论文，各学院（研究院）应事先征求研究生院的意见，经研究生院同意后各学位评定分委员会制定博士学位论文线下送审的条件要求，提交至研究生院审批。</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黑体" w:eastAsia="黑体" w:hAnsi="黑体" w:cs="Helvetica" w:hint="eastAsia"/>
          <w:b/>
          <w:bCs/>
          <w:color w:val="727272"/>
          <w:kern w:val="0"/>
          <w:sz w:val="32"/>
          <w:szCs w:val="32"/>
        </w:rPr>
        <w:t>三、启用新版研究生学位论文答辩材料</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仿宋_GB2312" w:eastAsia="仿宋_GB2312" w:hAnsi="仿宋_GB2312" w:cs="Helvetica" w:hint="eastAsia"/>
          <w:color w:val="727272"/>
          <w:kern w:val="0"/>
          <w:sz w:val="30"/>
          <w:szCs w:val="30"/>
        </w:rPr>
        <w:t>所有研究生学位论文答辩材料都已更新，涉及博士、硕士学位论文评阅书（含中英文版）、学位论文评定书（含中英文版），还更新了《厦门大学研究生学位论文封面格式规范》。</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仿宋_GB2312" w:eastAsia="仿宋_GB2312" w:hAnsi="仿宋_GB2312" w:cs="Helvetica" w:hint="eastAsia"/>
          <w:color w:val="727272"/>
          <w:kern w:val="0"/>
          <w:sz w:val="30"/>
          <w:szCs w:val="30"/>
        </w:rPr>
        <w:t>新版研究生学位论文答辩材料于</w:t>
      </w:r>
      <w:r w:rsidRPr="0056747B">
        <w:rPr>
          <w:rFonts w:ascii="Times New Roman" w:eastAsia="仿宋_GB2312" w:hAnsi="Times New Roman" w:cs="Times New Roman"/>
          <w:color w:val="727272"/>
          <w:kern w:val="0"/>
          <w:sz w:val="30"/>
          <w:szCs w:val="30"/>
        </w:rPr>
        <w:t>2020</w:t>
      </w:r>
      <w:r w:rsidRPr="0056747B">
        <w:rPr>
          <w:rFonts w:ascii="仿宋_GB2312" w:eastAsia="仿宋_GB2312" w:hAnsi="仿宋_GB2312" w:cs="Helvetica" w:hint="eastAsia"/>
          <w:color w:val="727272"/>
          <w:kern w:val="0"/>
          <w:sz w:val="30"/>
          <w:szCs w:val="30"/>
        </w:rPr>
        <w:t>年</w:t>
      </w:r>
      <w:r w:rsidRPr="0056747B">
        <w:rPr>
          <w:rFonts w:ascii="Times New Roman" w:eastAsia="仿宋_GB2312" w:hAnsi="Times New Roman" w:cs="Times New Roman"/>
          <w:color w:val="727272"/>
          <w:kern w:val="0"/>
          <w:sz w:val="30"/>
          <w:szCs w:val="30"/>
        </w:rPr>
        <w:t>1</w:t>
      </w:r>
      <w:r w:rsidRPr="0056747B">
        <w:rPr>
          <w:rFonts w:ascii="仿宋_GB2312" w:eastAsia="仿宋_GB2312" w:hAnsi="仿宋_GB2312" w:cs="Helvetica" w:hint="eastAsia"/>
          <w:color w:val="727272"/>
          <w:kern w:val="0"/>
          <w:sz w:val="30"/>
          <w:szCs w:val="30"/>
        </w:rPr>
        <w:t>月</w:t>
      </w:r>
      <w:r w:rsidRPr="0056747B">
        <w:rPr>
          <w:rFonts w:ascii="Times New Roman" w:eastAsia="仿宋_GB2312" w:hAnsi="Times New Roman" w:cs="Times New Roman"/>
          <w:color w:val="727272"/>
          <w:kern w:val="0"/>
          <w:sz w:val="30"/>
          <w:szCs w:val="30"/>
        </w:rPr>
        <w:t>1</w:t>
      </w:r>
      <w:r w:rsidRPr="0056747B">
        <w:rPr>
          <w:rFonts w:ascii="仿宋_GB2312" w:eastAsia="仿宋_GB2312" w:hAnsi="仿宋_GB2312" w:cs="Helvetica" w:hint="eastAsia"/>
          <w:color w:val="727272"/>
          <w:kern w:val="0"/>
          <w:sz w:val="30"/>
          <w:szCs w:val="30"/>
        </w:rPr>
        <w:t>日启用，各学院（研究院）</w:t>
      </w:r>
      <w:r w:rsidRPr="0056747B">
        <w:rPr>
          <w:rFonts w:ascii="Times New Roman" w:eastAsia="仿宋_GB2312" w:hAnsi="Times New Roman" w:cs="Times New Roman"/>
          <w:color w:val="727272"/>
          <w:kern w:val="0"/>
          <w:sz w:val="30"/>
          <w:szCs w:val="30"/>
        </w:rPr>
        <w:t>2019</w:t>
      </w:r>
      <w:r w:rsidRPr="0056747B">
        <w:rPr>
          <w:rFonts w:ascii="仿宋_GB2312" w:eastAsia="仿宋_GB2312" w:hAnsi="仿宋_GB2312" w:cs="Helvetica" w:hint="eastAsia"/>
          <w:color w:val="727272"/>
          <w:kern w:val="0"/>
          <w:sz w:val="30"/>
          <w:szCs w:val="30"/>
        </w:rPr>
        <w:t>年及以前领取的研究生学位论文答辩材料不再使用。</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黑体" w:eastAsia="黑体" w:hAnsi="黑体" w:cs="Helvetica" w:hint="eastAsia"/>
          <w:b/>
          <w:bCs/>
          <w:color w:val="727272"/>
          <w:kern w:val="0"/>
          <w:sz w:val="32"/>
          <w:szCs w:val="32"/>
        </w:rPr>
        <w:t>四、修订《厦门大学博士学位和硕士学位授予工作细则》</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仿宋_GB2312" w:eastAsia="仿宋_GB2312" w:hAnsi="仿宋_GB2312" w:cs="Helvetica" w:hint="eastAsia"/>
          <w:color w:val="727272"/>
          <w:kern w:val="0"/>
          <w:sz w:val="30"/>
          <w:szCs w:val="30"/>
        </w:rPr>
        <w:lastRenderedPageBreak/>
        <w:t>经2019年11月19日第十届校学位评定委员会第二次全体会议审议，通过了修订《厦门大学博士学位和硕士学位授予工作细则》，主要涉及评阅意见处理规则、博士学位公示期、撤销学位规定、学生受处分授予学位等内容。文件将于近期公布实施。</w:t>
      </w:r>
    </w:p>
    <w:p w:rsidR="0056747B" w:rsidRPr="0056747B" w:rsidRDefault="0056747B" w:rsidP="0056747B">
      <w:pPr>
        <w:widowControl/>
        <w:shd w:val="clear" w:color="auto" w:fill="FFFFFF"/>
        <w:spacing w:before="75" w:after="75" w:line="540" w:lineRule="atLeast"/>
        <w:ind w:firstLine="645"/>
        <w:jc w:val="left"/>
        <w:rPr>
          <w:rFonts w:ascii="微软雅黑" w:eastAsia="微软雅黑" w:hAnsi="微软雅黑" w:cs="Helvetica"/>
          <w:color w:val="000000"/>
          <w:kern w:val="0"/>
          <w:szCs w:val="21"/>
        </w:rPr>
      </w:pPr>
      <w:r w:rsidRPr="0056747B">
        <w:rPr>
          <w:rFonts w:ascii="仿宋_GB2312" w:eastAsia="仿宋_GB2312" w:hAnsi="仿宋_GB2312" w:cs="Helvetica" w:hint="eastAsia"/>
          <w:color w:val="000000"/>
          <w:kern w:val="0"/>
          <w:sz w:val="30"/>
          <w:szCs w:val="30"/>
        </w:rPr>
        <w:t>联系人：熊老师 </w:t>
      </w:r>
      <w:r w:rsidRPr="0056747B">
        <w:rPr>
          <w:rFonts w:ascii="Times New Roman" w:eastAsia="微软雅黑" w:hAnsi="Times New Roman" w:cs="Times New Roman"/>
          <w:color w:val="000000"/>
          <w:kern w:val="0"/>
          <w:sz w:val="30"/>
          <w:szCs w:val="30"/>
        </w:rPr>
        <w:t xml:space="preserve"> 2181667</w:t>
      </w:r>
    </w:p>
    <w:p w:rsidR="0056747B" w:rsidRPr="0056747B" w:rsidRDefault="006C1B78" w:rsidP="0056747B">
      <w:pPr>
        <w:widowControl/>
        <w:shd w:val="clear" w:color="auto" w:fill="FFFFFF"/>
        <w:spacing w:before="75" w:after="75" w:line="540" w:lineRule="atLeast"/>
        <w:ind w:firstLine="645"/>
        <w:jc w:val="left"/>
        <w:rPr>
          <w:rFonts w:ascii="微软雅黑" w:eastAsia="微软雅黑" w:hAnsi="微软雅黑" w:cs="Helvetica"/>
          <w:color w:val="000000"/>
          <w:kern w:val="0"/>
          <w:szCs w:val="21"/>
        </w:rPr>
      </w:pPr>
      <w:r>
        <w:rPr>
          <w:rFonts w:ascii="仿宋_GB2312" w:eastAsia="仿宋_GB2312" w:hAnsi="仿宋_GB2312" w:cs="Helvetica" w:hint="eastAsia"/>
          <w:color w:val="000000"/>
          <w:kern w:val="0"/>
          <w:sz w:val="30"/>
          <w:szCs w:val="30"/>
        </w:rPr>
        <w:t>     </w:t>
      </w:r>
      <w:bookmarkStart w:id="0" w:name="_GoBack"/>
      <w:bookmarkEnd w:id="0"/>
      <w:r w:rsidR="0056747B" w:rsidRPr="0056747B">
        <w:rPr>
          <w:rFonts w:ascii="仿宋_GB2312" w:eastAsia="仿宋_GB2312" w:hAnsi="仿宋_GB2312" w:cs="Helvetica" w:hint="eastAsia"/>
          <w:color w:val="000000"/>
          <w:kern w:val="0"/>
          <w:sz w:val="30"/>
          <w:szCs w:val="30"/>
        </w:rPr>
        <w:t>廖老师</w:t>
      </w:r>
      <w:r w:rsidR="0056747B" w:rsidRPr="0056747B">
        <w:rPr>
          <w:rFonts w:ascii="Times New Roman" w:eastAsia="微软雅黑" w:hAnsi="Times New Roman" w:cs="Times New Roman"/>
          <w:color w:val="000000"/>
          <w:kern w:val="0"/>
          <w:sz w:val="30"/>
          <w:szCs w:val="30"/>
        </w:rPr>
        <w:t>  2180757</w:t>
      </w:r>
      <w:r w:rsidR="0056747B" w:rsidRPr="0056747B">
        <w:rPr>
          <w:rFonts w:ascii="仿宋_GB2312" w:eastAsia="仿宋_GB2312" w:hAnsi="仿宋_GB2312" w:cs="Helvetica" w:hint="eastAsia"/>
          <w:color w:val="000000"/>
          <w:kern w:val="0"/>
          <w:sz w:val="30"/>
          <w:szCs w:val="30"/>
        </w:rPr>
        <w:t>（论文查重检测）</w:t>
      </w:r>
    </w:p>
    <w:p w:rsidR="0056747B" w:rsidRPr="0056747B" w:rsidRDefault="0056747B" w:rsidP="0056747B">
      <w:pPr>
        <w:widowControl/>
        <w:shd w:val="clear" w:color="auto" w:fill="FFFFFF"/>
        <w:spacing w:after="150" w:line="540" w:lineRule="atLeast"/>
        <w:ind w:firstLine="645"/>
        <w:jc w:val="left"/>
        <w:rPr>
          <w:rFonts w:ascii="微软雅黑" w:eastAsia="微软雅黑" w:hAnsi="微软雅黑" w:cs="Helvetica"/>
          <w:color w:val="727272"/>
          <w:kern w:val="0"/>
          <w:szCs w:val="21"/>
        </w:rPr>
      </w:pPr>
      <w:r w:rsidRPr="0056747B">
        <w:rPr>
          <w:rFonts w:ascii="微软雅黑" w:eastAsia="微软雅黑" w:hAnsi="微软雅黑" w:cs="Helvetica" w:hint="eastAsia"/>
          <w:color w:val="727272"/>
          <w:kern w:val="0"/>
          <w:szCs w:val="21"/>
        </w:rPr>
        <w:t>附件：</w:t>
      </w:r>
      <w:r w:rsidRPr="0056747B">
        <w:rPr>
          <w:rFonts w:ascii="微软雅黑" w:eastAsia="微软雅黑" w:hAnsi="微软雅黑" w:cs="Helvetica"/>
          <w:noProof/>
          <w:color w:val="727272"/>
          <w:kern w:val="0"/>
          <w:szCs w:val="21"/>
        </w:rPr>
        <w:drawing>
          <wp:inline distT="0" distB="0" distL="0" distR="0" wp14:anchorId="62C3541D" wp14:editId="37DB63D5">
            <wp:extent cx="152400" cy="152400"/>
            <wp:effectExtent l="0" t="0" r="0" b="0"/>
            <wp:docPr id="1" name="图片 1" descr="https://gs.xmu.edu.cn/system/resource/images/fileType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s.xmu.edu.cn/system/resource/images/fileTypeImages/icon_r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56747B">
          <w:rPr>
            <w:rFonts w:ascii="微软雅黑" w:eastAsia="微软雅黑" w:hAnsi="微软雅黑" w:cs="Helvetica" w:hint="eastAsia"/>
            <w:color w:val="428BCA"/>
            <w:kern w:val="0"/>
            <w:szCs w:val="21"/>
          </w:rPr>
          <w:t>工作流程及学位论文送审平台使用指南.rar</w:t>
        </w:r>
      </w:hyperlink>
    </w:p>
    <w:p w:rsidR="006F2EBE" w:rsidRPr="0056747B" w:rsidRDefault="006F2EBE"/>
    <w:sectPr w:rsidR="006F2EBE" w:rsidRPr="005674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E5F" w:rsidRDefault="00A65E5F" w:rsidP="006C1B78">
      <w:r>
        <w:separator/>
      </w:r>
    </w:p>
  </w:endnote>
  <w:endnote w:type="continuationSeparator" w:id="0">
    <w:p w:rsidR="00A65E5F" w:rsidRDefault="00A65E5F" w:rsidP="006C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AFF" w:usb1="C0007843" w:usb2="00000009" w:usb3="00000000" w:csb0="000001FF" w:csb1="00000000"/>
  </w:font>
  <w:font w:name="fangsong_gb2312">
    <w:panose1 w:val="00000000000000000000"/>
    <w:charset w:val="00"/>
    <w:family w:val="roman"/>
    <w:notTrueType/>
    <w:pitch w:val="default"/>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E5F" w:rsidRDefault="00A65E5F" w:rsidP="006C1B78">
      <w:r>
        <w:separator/>
      </w:r>
    </w:p>
  </w:footnote>
  <w:footnote w:type="continuationSeparator" w:id="0">
    <w:p w:rsidR="00A65E5F" w:rsidRDefault="00A65E5F" w:rsidP="006C1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38"/>
    <w:rsid w:val="0056747B"/>
    <w:rsid w:val="006C1B78"/>
    <w:rsid w:val="006D7E38"/>
    <w:rsid w:val="006F2EBE"/>
    <w:rsid w:val="00A65E5F"/>
    <w:rsid w:val="00AF0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D7037"/>
  <w15:chartTrackingRefBased/>
  <w15:docId w15:val="{17907F4D-6BE2-42B0-B4DC-FCB6F3AE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E81"/>
    <w:rPr>
      <w:sz w:val="18"/>
      <w:szCs w:val="18"/>
    </w:rPr>
  </w:style>
  <w:style w:type="character" w:customStyle="1" w:styleId="a4">
    <w:name w:val="批注框文本 字符"/>
    <w:basedOn w:val="a0"/>
    <w:link w:val="a3"/>
    <w:uiPriority w:val="99"/>
    <w:semiHidden/>
    <w:rsid w:val="00AF0E81"/>
    <w:rPr>
      <w:sz w:val="18"/>
      <w:szCs w:val="18"/>
    </w:rPr>
  </w:style>
  <w:style w:type="paragraph" w:styleId="a5">
    <w:name w:val="header"/>
    <w:basedOn w:val="a"/>
    <w:link w:val="a6"/>
    <w:uiPriority w:val="99"/>
    <w:unhideWhenUsed/>
    <w:rsid w:val="006C1B7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C1B78"/>
    <w:rPr>
      <w:sz w:val="18"/>
      <w:szCs w:val="18"/>
    </w:rPr>
  </w:style>
  <w:style w:type="paragraph" w:styleId="a7">
    <w:name w:val="footer"/>
    <w:basedOn w:val="a"/>
    <w:link w:val="a8"/>
    <w:uiPriority w:val="99"/>
    <w:unhideWhenUsed/>
    <w:rsid w:val="006C1B78"/>
    <w:pPr>
      <w:tabs>
        <w:tab w:val="center" w:pos="4153"/>
        <w:tab w:val="right" w:pos="8306"/>
      </w:tabs>
      <w:snapToGrid w:val="0"/>
      <w:jc w:val="left"/>
    </w:pPr>
    <w:rPr>
      <w:sz w:val="18"/>
      <w:szCs w:val="18"/>
    </w:rPr>
  </w:style>
  <w:style w:type="character" w:customStyle="1" w:styleId="a8">
    <w:name w:val="页脚 字符"/>
    <w:basedOn w:val="a0"/>
    <w:link w:val="a7"/>
    <w:uiPriority w:val="99"/>
    <w:rsid w:val="006C1B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51736">
      <w:bodyDiv w:val="1"/>
      <w:marLeft w:val="0"/>
      <w:marRight w:val="0"/>
      <w:marTop w:val="0"/>
      <w:marBottom w:val="0"/>
      <w:divBdr>
        <w:top w:val="none" w:sz="0" w:space="0" w:color="auto"/>
        <w:left w:val="none" w:sz="0" w:space="0" w:color="auto"/>
        <w:bottom w:val="none" w:sz="0" w:space="0" w:color="auto"/>
        <w:right w:val="none" w:sz="0" w:space="0" w:color="auto"/>
      </w:divBdr>
      <w:divsChild>
        <w:div w:id="263921522">
          <w:marLeft w:val="0"/>
          <w:marRight w:val="0"/>
          <w:marTop w:val="0"/>
          <w:marBottom w:val="0"/>
          <w:divBdr>
            <w:top w:val="none" w:sz="0" w:space="0" w:color="auto"/>
            <w:left w:val="none" w:sz="0" w:space="0" w:color="auto"/>
            <w:bottom w:val="none" w:sz="0" w:space="0" w:color="auto"/>
            <w:right w:val="none" w:sz="0" w:space="0" w:color="auto"/>
          </w:divBdr>
          <w:divsChild>
            <w:div w:id="1627544256">
              <w:marLeft w:val="0"/>
              <w:marRight w:val="0"/>
              <w:marTop w:val="0"/>
              <w:marBottom w:val="0"/>
              <w:divBdr>
                <w:top w:val="none" w:sz="0" w:space="0" w:color="auto"/>
                <w:left w:val="none" w:sz="0" w:space="0" w:color="auto"/>
                <w:bottom w:val="none" w:sz="0" w:space="0" w:color="auto"/>
                <w:right w:val="none" w:sz="0" w:space="0" w:color="auto"/>
              </w:divBdr>
              <w:divsChild>
                <w:div w:id="183329841">
                  <w:marLeft w:val="0"/>
                  <w:marRight w:val="0"/>
                  <w:marTop w:val="0"/>
                  <w:marBottom w:val="0"/>
                  <w:divBdr>
                    <w:top w:val="none" w:sz="0" w:space="0" w:color="auto"/>
                    <w:left w:val="none" w:sz="0" w:space="0" w:color="auto"/>
                    <w:bottom w:val="none" w:sz="0" w:space="0" w:color="auto"/>
                    <w:right w:val="none" w:sz="0" w:space="0" w:color="auto"/>
                  </w:divBdr>
                  <w:divsChild>
                    <w:div w:id="1797217927">
                      <w:marLeft w:val="-225"/>
                      <w:marRight w:val="-225"/>
                      <w:marTop w:val="0"/>
                      <w:marBottom w:val="0"/>
                      <w:divBdr>
                        <w:top w:val="none" w:sz="0" w:space="0" w:color="auto"/>
                        <w:left w:val="none" w:sz="0" w:space="0" w:color="auto"/>
                        <w:bottom w:val="none" w:sz="0" w:space="0" w:color="auto"/>
                        <w:right w:val="none" w:sz="0" w:space="0" w:color="auto"/>
                      </w:divBdr>
                      <w:divsChild>
                        <w:div w:id="276722632">
                          <w:marLeft w:val="0"/>
                          <w:marRight w:val="0"/>
                          <w:marTop w:val="100"/>
                          <w:marBottom w:val="100"/>
                          <w:divBdr>
                            <w:top w:val="none" w:sz="0" w:space="0" w:color="auto"/>
                            <w:left w:val="none" w:sz="0" w:space="0" w:color="auto"/>
                            <w:bottom w:val="none" w:sz="0" w:space="0" w:color="auto"/>
                            <w:right w:val="none" w:sz="0" w:space="0" w:color="auto"/>
                          </w:divBdr>
                          <w:divsChild>
                            <w:div w:id="2046830899">
                              <w:marLeft w:val="0"/>
                              <w:marRight w:val="0"/>
                              <w:marTop w:val="300"/>
                              <w:marBottom w:val="0"/>
                              <w:divBdr>
                                <w:top w:val="none" w:sz="0" w:space="0" w:color="auto"/>
                                <w:left w:val="none" w:sz="0" w:space="0" w:color="auto"/>
                                <w:bottom w:val="none" w:sz="0" w:space="0" w:color="auto"/>
                                <w:right w:val="none" w:sz="0" w:space="0" w:color="auto"/>
                              </w:divBdr>
                              <w:divsChild>
                                <w:div w:id="1971670453">
                                  <w:marLeft w:val="0"/>
                                  <w:marRight w:val="0"/>
                                  <w:marTop w:val="0"/>
                                  <w:marBottom w:val="150"/>
                                  <w:divBdr>
                                    <w:top w:val="none" w:sz="0" w:space="0" w:color="auto"/>
                                    <w:left w:val="none" w:sz="0" w:space="0" w:color="auto"/>
                                    <w:bottom w:val="none" w:sz="0" w:space="0" w:color="auto"/>
                                    <w:right w:val="none" w:sz="0" w:space="0" w:color="auto"/>
                                  </w:divBdr>
                                </w:div>
                                <w:div w:id="1254361151">
                                  <w:marLeft w:val="0"/>
                                  <w:marRight w:val="0"/>
                                  <w:marTop w:val="0"/>
                                  <w:marBottom w:val="750"/>
                                  <w:divBdr>
                                    <w:top w:val="none" w:sz="0" w:space="0" w:color="auto"/>
                                    <w:left w:val="none" w:sz="0" w:space="0" w:color="auto"/>
                                    <w:bottom w:val="none" w:sz="0" w:space="0" w:color="auto"/>
                                    <w:right w:val="none" w:sz="0" w:space="0" w:color="auto"/>
                                  </w:divBdr>
                                </w:div>
                                <w:div w:id="1189218468">
                                  <w:marLeft w:val="0"/>
                                  <w:marRight w:val="0"/>
                                  <w:marTop w:val="100"/>
                                  <w:marBottom w:val="100"/>
                                  <w:divBdr>
                                    <w:top w:val="none" w:sz="0" w:space="0" w:color="auto"/>
                                    <w:left w:val="none" w:sz="0" w:space="0" w:color="auto"/>
                                    <w:bottom w:val="none" w:sz="0" w:space="0" w:color="auto"/>
                                    <w:right w:val="none" w:sz="0" w:space="0" w:color="auto"/>
                                  </w:divBdr>
                                  <w:divsChild>
                                    <w:div w:id="17733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s.xmu.edu.cn/system/_content/download.jsp?urltype=news.DownloadAttachUrl&amp;owner=1528900633&amp;wbfileid=41181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易佩荣</dc:creator>
  <cp:keywords/>
  <dc:description/>
  <cp:lastModifiedBy>易佩荣</cp:lastModifiedBy>
  <cp:revision>4</cp:revision>
  <cp:lastPrinted>2019-12-27T07:30:00Z</cp:lastPrinted>
  <dcterms:created xsi:type="dcterms:W3CDTF">2019-12-27T07:22:00Z</dcterms:created>
  <dcterms:modified xsi:type="dcterms:W3CDTF">2020-01-02T03:09:00Z</dcterms:modified>
</cp:coreProperties>
</file>